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B50" w:rsidRPr="003E1C96" w:rsidRDefault="007E1261" w:rsidP="003E1C96">
      <w:pPr>
        <w:spacing w:line="272" w:lineRule="exact"/>
        <w:jc w:val="center"/>
        <w:rPr>
          <w:rFonts w:hint="default"/>
          <w:sz w:val="22"/>
        </w:rPr>
      </w:pPr>
      <w:r>
        <w:rPr>
          <w:sz w:val="22"/>
        </w:rPr>
        <w:t>令和</w:t>
      </w:r>
      <w:r w:rsidR="0061600D">
        <w:rPr>
          <w:sz w:val="22"/>
        </w:rPr>
        <w:t>５</w:t>
      </w:r>
      <w:r>
        <w:rPr>
          <w:sz w:val="22"/>
        </w:rPr>
        <w:t>・</w:t>
      </w:r>
      <w:r w:rsidR="0061600D">
        <w:rPr>
          <w:sz w:val="22"/>
        </w:rPr>
        <w:t>６</w:t>
      </w:r>
      <w:r>
        <w:rPr>
          <w:sz w:val="22"/>
        </w:rPr>
        <w:t>年度</w:t>
      </w:r>
      <w:r w:rsidR="00B1450E">
        <w:rPr>
          <w:sz w:val="22"/>
        </w:rPr>
        <w:t>建設工事入札参加</w:t>
      </w:r>
      <w:r w:rsidR="00493B7D">
        <w:rPr>
          <w:sz w:val="22"/>
        </w:rPr>
        <w:t>資格審査及び</w:t>
      </w:r>
      <w:r w:rsidR="006C5569">
        <w:rPr>
          <w:sz w:val="22"/>
        </w:rPr>
        <w:t>等級格付基準</w:t>
      </w:r>
      <w:r w:rsidR="009156F9">
        <w:rPr>
          <w:sz w:val="22"/>
        </w:rPr>
        <w:t>（追加）</w:t>
      </w:r>
    </w:p>
    <w:p w:rsidR="00634B50" w:rsidRPr="0061600D" w:rsidRDefault="00634B50">
      <w:pPr>
        <w:spacing w:line="252" w:lineRule="exact"/>
        <w:rPr>
          <w:rFonts w:hint="default"/>
        </w:rPr>
      </w:pPr>
    </w:p>
    <w:p w:rsidR="00634B50" w:rsidRDefault="000455E6">
      <w:pPr>
        <w:spacing w:line="252" w:lineRule="exact"/>
        <w:rPr>
          <w:rFonts w:hint="default"/>
        </w:rPr>
      </w:pPr>
      <w:r>
        <w:t xml:space="preserve">　宮古島市が発注する公共工事のうち、発注件数が多い</w:t>
      </w:r>
      <w:r w:rsidR="007462B8">
        <w:t>５</w:t>
      </w:r>
      <w:r>
        <w:t>業種（土木工事業、建築工</w:t>
      </w:r>
      <w:r w:rsidR="009C6C6C">
        <w:t>事業、電気工事業、管工事業、ほ装工事業）について、建設業者の施工能力等に応じた発注を行うため、総合評点</w:t>
      </w:r>
      <w:r>
        <w:t>の結果に基づき以下のとおり等級格付けを行う。</w:t>
      </w:r>
    </w:p>
    <w:p w:rsidR="00634B50" w:rsidRDefault="00634B50">
      <w:pPr>
        <w:spacing w:line="252" w:lineRule="exact"/>
        <w:rPr>
          <w:rFonts w:hint="default"/>
        </w:rPr>
      </w:pPr>
    </w:p>
    <w:p w:rsidR="007462B8" w:rsidRDefault="000455E6">
      <w:pPr>
        <w:spacing w:line="252" w:lineRule="exact"/>
        <w:rPr>
          <w:rFonts w:hint="default"/>
        </w:rPr>
      </w:pPr>
      <w:r>
        <w:t>１　等級区分</w:t>
      </w:r>
    </w:p>
    <w:p w:rsidR="0061600D" w:rsidRPr="00370190" w:rsidRDefault="000455E6" w:rsidP="002F52CF">
      <w:pPr>
        <w:spacing w:line="252" w:lineRule="exact"/>
        <w:ind w:leftChars="209" w:left="421" w:firstLineChars="1" w:firstLine="2"/>
        <w:rPr>
          <w:rFonts w:hint="default"/>
          <w:color w:val="FF0000"/>
        </w:rPr>
      </w:pPr>
      <w:r>
        <w:t>宮古島市内に主たる営業所を有する建設業者の等級格付を行う業種及び等級区分は、以下のとおりとする。なお、</w:t>
      </w:r>
      <w:r w:rsidR="000B4DD6" w:rsidRPr="00370190">
        <w:rPr>
          <w:color w:val="FF0000"/>
        </w:rPr>
        <w:t>宮古島市では、</w:t>
      </w:r>
      <w:r w:rsidR="0061600D" w:rsidRPr="00370190">
        <w:rPr>
          <w:color w:val="FF0000"/>
        </w:rPr>
        <w:t>市内に建設業法上の従たる営業所</w:t>
      </w:r>
      <w:r w:rsidR="000B4DD6" w:rsidRPr="00370190">
        <w:rPr>
          <w:color w:val="FF0000"/>
        </w:rPr>
        <w:t>を持つ事業者に</w:t>
      </w:r>
      <w:r w:rsidR="0061600D" w:rsidRPr="00370190">
        <w:rPr>
          <w:color w:val="FF0000"/>
        </w:rPr>
        <w:t>準市内として</w:t>
      </w:r>
      <w:r w:rsidR="00FE53A6" w:rsidRPr="00370190">
        <w:rPr>
          <w:color w:val="FF0000"/>
        </w:rPr>
        <w:t>格付審査を受けることも可能としている。</w:t>
      </w:r>
      <w:r w:rsidR="002F52CF" w:rsidRPr="00C60590">
        <w:rPr>
          <w:color w:val="FF0000"/>
          <w:u w:val="single"/>
        </w:rPr>
        <w:t>準市内として申請する場合</w:t>
      </w:r>
      <w:r w:rsidR="00FE53A6" w:rsidRPr="00370190">
        <w:rPr>
          <w:color w:val="FF0000"/>
        </w:rPr>
        <w:t>、市内</w:t>
      </w:r>
      <w:r w:rsidR="0061600D" w:rsidRPr="00370190">
        <w:rPr>
          <w:color w:val="FF0000"/>
        </w:rPr>
        <w:t>営業所が持つ</w:t>
      </w:r>
      <w:r w:rsidR="00FE53A6" w:rsidRPr="00370190">
        <w:rPr>
          <w:color w:val="FF0000"/>
        </w:rPr>
        <w:t>建設業許可</w:t>
      </w:r>
      <w:r w:rsidR="002F52CF">
        <w:rPr>
          <w:color w:val="FF0000"/>
        </w:rPr>
        <w:t>（工種）</w:t>
      </w:r>
      <w:r w:rsidR="00FE53A6" w:rsidRPr="00370190">
        <w:rPr>
          <w:color w:val="FF0000"/>
        </w:rPr>
        <w:t>のみ資格申請（格付）</w:t>
      </w:r>
      <w:r w:rsidR="0061600D" w:rsidRPr="00370190">
        <w:rPr>
          <w:color w:val="FF0000"/>
        </w:rPr>
        <w:t>対象とする</w:t>
      </w:r>
      <w:r w:rsidR="00FE53A6" w:rsidRPr="00370190">
        <w:rPr>
          <w:color w:val="FF0000"/>
        </w:rPr>
        <w:t>。格付を希望しない場合、所在地区分を県内業者、県外業者（いずれも格付非対象）として申請すること。</w:t>
      </w:r>
    </w:p>
    <w:p w:rsidR="00757900" w:rsidRDefault="00757900" w:rsidP="001F2F42">
      <w:pPr>
        <w:spacing w:line="252" w:lineRule="exact"/>
        <w:ind w:leftChars="209" w:left="421" w:firstLineChars="1" w:firstLine="2"/>
        <w:rPr>
          <w:rFonts w:hint="default"/>
        </w:rPr>
      </w:pPr>
    </w:p>
    <w:p w:rsidR="00634B50" w:rsidRDefault="000455E6" w:rsidP="001F2F42">
      <w:pPr>
        <w:spacing w:line="252" w:lineRule="exact"/>
        <w:ind w:leftChars="210" w:left="423"/>
        <w:rPr>
          <w:rFonts w:hint="default"/>
        </w:rPr>
      </w:pPr>
      <w:r>
        <w:t>土木工事業　　Ａ、Ｂ、Ｃ、Ｄ　　（４等級）</w:t>
      </w:r>
    </w:p>
    <w:p w:rsidR="00634B50" w:rsidRDefault="000455E6" w:rsidP="001F2F42">
      <w:pPr>
        <w:spacing w:line="252" w:lineRule="exact"/>
        <w:ind w:leftChars="210" w:left="423"/>
        <w:rPr>
          <w:rFonts w:hint="default"/>
        </w:rPr>
      </w:pPr>
      <w:r>
        <w:t>建築工事業　　Ａ、Ｂ、Ｃ、Ｄ　　（４等級）</w:t>
      </w:r>
    </w:p>
    <w:p w:rsidR="00634B50" w:rsidRDefault="000455E6" w:rsidP="001F2F42">
      <w:pPr>
        <w:spacing w:line="252" w:lineRule="exact"/>
        <w:ind w:leftChars="210" w:left="423"/>
        <w:rPr>
          <w:rFonts w:hint="default"/>
        </w:rPr>
      </w:pPr>
      <w:r>
        <w:t>電気工事業　　Ａ、Ｂ、Ｃ　　　　（３等級）</w:t>
      </w:r>
    </w:p>
    <w:p w:rsidR="00634B50" w:rsidRDefault="000455E6" w:rsidP="001F2F42">
      <w:pPr>
        <w:spacing w:line="252" w:lineRule="exact"/>
        <w:ind w:leftChars="210" w:left="423"/>
        <w:rPr>
          <w:rFonts w:hint="default"/>
        </w:rPr>
      </w:pPr>
      <w:r>
        <w:t>管工事業　　　Ａ、Ｂ、Ｃ　　　　（３等級）</w:t>
      </w:r>
    </w:p>
    <w:p w:rsidR="00634B50" w:rsidRDefault="000455E6" w:rsidP="001F2F42">
      <w:pPr>
        <w:spacing w:line="252" w:lineRule="exact"/>
        <w:ind w:leftChars="210" w:left="423"/>
        <w:rPr>
          <w:rFonts w:hint="default"/>
        </w:rPr>
      </w:pPr>
      <w:r>
        <w:t>ほ装工事業　　Ａ、Ｂ　　　　　　（２等級）</w:t>
      </w:r>
    </w:p>
    <w:p w:rsidR="00634B50" w:rsidRDefault="00634B50">
      <w:pPr>
        <w:spacing w:line="252" w:lineRule="exact"/>
        <w:rPr>
          <w:rFonts w:hint="default"/>
        </w:rPr>
      </w:pPr>
    </w:p>
    <w:p w:rsidR="007462B8" w:rsidRDefault="000455E6">
      <w:pPr>
        <w:spacing w:line="252" w:lineRule="exact"/>
        <w:rPr>
          <w:rFonts w:hint="default"/>
        </w:rPr>
      </w:pPr>
      <w:r>
        <w:t>２　等級格付の方法</w:t>
      </w:r>
    </w:p>
    <w:p w:rsidR="00634B50" w:rsidRDefault="000455E6" w:rsidP="001F2F42">
      <w:pPr>
        <w:spacing w:line="252" w:lineRule="exact"/>
        <w:ind w:leftChars="210" w:left="423"/>
        <w:rPr>
          <w:rFonts w:hint="default"/>
        </w:rPr>
      </w:pPr>
      <w:r>
        <w:t>建設業法（以下「法」という。）第２７条の２３第１項に規定する経営規模その他経営に関する客　観的事項の審査（以下「経営事</w:t>
      </w:r>
      <w:r w:rsidR="001F2F42">
        <w:t>項審査」という。）を受けていることを前提として行い、経営事項審</w:t>
      </w:r>
      <w:r>
        <w:t>査総合評定値に３の市独自評点を加えた総合評点の上位から格付けしていくこととする。</w:t>
      </w:r>
    </w:p>
    <w:p w:rsidR="00634B50" w:rsidRDefault="00634B50">
      <w:pPr>
        <w:spacing w:line="252" w:lineRule="exact"/>
        <w:rPr>
          <w:rFonts w:hint="default"/>
        </w:rPr>
      </w:pPr>
    </w:p>
    <w:p w:rsidR="007462B8" w:rsidRDefault="000455E6">
      <w:pPr>
        <w:spacing w:line="252" w:lineRule="exact"/>
        <w:rPr>
          <w:rFonts w:hint="default"/>
        </w:rPr>
      </w:pPr>
      <w:r>
        <w:t>３　市独自評点</w:t>
      </w:r>
    </w:p>
    <w:p w:rsidR="00740F5D" w:rsidRDefault="000455E6" w:rsidP="007462B8">
      <w:pPr>
        <w:spacing w:line="252" w:lineRule="exact"/>
        <w:ind w:leftChars="210" w:left="423"/>
        <w:rPr>
          <w:rFonts w:hint="default"/>
        </w:rPr>
      </w:pPr>
      <w:r>
        <w:t>市独自の評点については、次の各号に掲げる評点項目ごとの基準により算定した数値に基づき行うものとする。</w:t>
      </w:r>
    </w:p>
    <w:p w:rsidR="00740F5D" w:rsidRDefault="00740F5D" w:rsidP="00D645E3">
      <w:pPr>
        <w:spacing w:line="252" w:lineRule="exact"/>
        <w:rPr>
          <w:rFonts w:hint="default"/>
        </w:rPr>
      </w:pPr>
      <w:r>
        <w:t>（１）</w:t>
      </w:r>
      <w:r w:rsidR="000455E6">
        <w:t>工事成績（平均点）</w:t>
      </w:r>
    </w:p>
    <w:p w:rsidR="00634B50" w:rsidRDefault="00740F5D" w:rsidP="00A30114">
      <w:pPr>
        <w:spacing w:afterLines="50" w:after="126" w:line="252" w:lineRule="exact"/>
        <w:ind w:leftChars="190" w:left="383"/>
        <w:rPr>
          <w:rFonts w:hint="default"/>
        </w:rPr>
      </w:pPr>
      <w:r>
        <w:t>宮古島市（教育委員会を含む</w:t>
      </w:r>
      <w:r w:rsidR="00C13184">
        <w:t>）の発注工事で、</w:t>
      </w:r>
      <w:r w:rsidR="00B97930">
        <w:t>令和</w:t>
      </w:r>
      <w:r w:rsidR="00051495">
        <w:t>３</w:t>
      </w:r>
      <w:r w:rsidR="00B97930">
        <w:t>・</w:t>
      </w:r>
      <w:r w:rsidR="00051495">
        <w:t>４</w:t>
      </w:r>
      <w:r w:rsidR="00B97930">
        <w:t>年度</w:t>
      </w:r>
      <w:r w:rsidR="000455E6">
        <w:t>に完成した</w:t>
      </w:r>
      <w:r w:rsidR="00D645E3">
        <w:t>土木</w:t>
      </w:r>
      <w:r w:rsidR="00B65312">
        <w:t>工事・建築工事・電気工事・管工事・ほ装工事の成績を</w:t>
      </w:r>
      <w:r w:rsidR="000455E6">
        <w:t>工種ごとに評価し次のとおり配点する。</w:t>
      </w:r>
    </w:p>
    <w:tbl>
      <w:tblPr>
        <w:tblW w:w="9072" w:type="dxa"/>
        <w:tblInd w:w="333" w:type="dxa"/>
        <w:tblLayout w:type="fixed"/>
        <w:tblCellMar>
          <w:left w:w="0" w:type="dxa"/>
          <w:right w:w="0" w:type="dxa"/>
        </w:tblCellMar>
        <w:tblLook w:val="0000" w:firstRow="0" w:lastRow="0" w:firstColumn="0" w:lastColumn="0" w:noHBand="0" w:noVBand="0"/>
      </w:tblPr>
      <w:tblGrid>
        <w:gridCol w:w="1134"/>
        <w:gridCol w:w="850"/>
        <w:gridCol w:w="993"/>
        <w:gridCol w:w="850"/>
        <w:gridCol w:w="851"/>
        <w:gridCol w:w="992"/>
        <w:gridCol w:w="850"/>
        <w:gridCol w:w="851"/>
        <w:gridCol w:w="850"/>
        <w:gridCol w:w="851"/>
      </w:tblGrid>
      <w:tr w:rsidR="00634B50" w:rsidTr="00740F5D">
        <w:trPr>
          <w:trHeight w:val="668"/>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12" w:rsidRPr="00495087" w:rsidRDefault="00495087" w:rsidP="00495087">
            <w:pPr>
              <w:spacing w:line="0" w:lineRule="atLeast"/>
              <w:jc w:val="center"/>
              <w:rPr>
                <w:rFonts w:hint="default"/>
                <w:position w:val="10"/>
                <w:sz w:val="16"/>
                <w:szCs w:val="16"/>
              </w:rPr>
            </w:pPr>
            <w:r w:rsidRPr="00495087">
              <w:rPr>
                <w:position w:val="10"/>
                <w:sz w:val="16"/>
                <w:szCs w:val="16"/>
              </w:rPr>
              <w:t>工事成績</w:t>
            </w:r>
            <w:r w:rsidR="000455E6" w:rsidRPr="00495087">
              <w:rPr>
                <w:position w:val="10"/>
                <w:sz w:val="16"/>
                <w:szCs w:val="16"/>
              </w:rPr>
              <w:t>評点</w:t>
            </w:r>
          </w:p>
          <w:p w:rsidR="00634B50" w:rsidRDefault="000455E6" w:rsidP="00495087">
            <w:pPr>
              <w:spacing w:line="0" w:lineRule="atLeast"/>
              <w:jc w:val="center"/>
              <w:rPr>
                <w:rFonts w:hint="default"/>
              </w:rPr>
            </w:pPr>
            <w:r w:rsidRPr="00495087">
              <w:rPr>
                <w:position w:val="8"/>
                <w:sz w:val="16"/>
                <w:szCs w:val="16"/>
              </w:rPr>
              <w:t>（平均点）</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12" w:rsidRPr="00495087" w:rsidRDefault="000455E6" w:rsidP="00495087">
            <w:pPr>
              <w:spacing w:line="0" w:lineRule="atLeast"/>
              <w:jc w:val="center"/>
              <w:rPr>
                <w:rFonts w:hint="default"/>
                <w:sz w:val="16"/>
                <w:szCs w:val="16"/>
              </w:rPr>
            </w:pPr>
            <w:r w:rsidRPr="00495087">
              <w:rPr>
                <w:position w:val="10"/>
                <w:sz w:val="16"/>
                <w:szCs w:val="16"/>
              </w:rPr>
              <w:t>55</w:t>
            </w:r>
            <w:r w:rsidRPr="00495087">
              <w:rPr>
                <w:position w:val="10"/>
                <w:sz w:val="16"/>
                <w:szCs w:val="16"/>
              </w:rPr>
              <w:t>点</w:t>
            </w:r>
          </w:p>
          <w:p w:rsidR="00634B50" w:rsidRPr="00495087" w:rsidRDefault="000455E6" w:rsidP="00495087">
            <w:pPr>
              <w:spacing w:line="0" w:lineRule="atLeast"/>
              <w:jc w:val="center"/>
              <w:rPr>
                <w:rFonts w:hint="default"/>
                <w:sz w:val="16"/>
                <w:szCs w:val="16"/>
              </w:rPr>
            </w:pPr>
            <w:r w:rsidRPr="00495087">
              <w:rPr>
                <w:position w:val="8"/>
                <w:sz w:val="16"/>
                <w:szCs w:val="16"/>
              </w:rPr>
              <w:t>未満</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12" w:rsidRPr="00495087" w:rsidRDefault="000455E6" w:rsidP="00495087">
            <w:pPr>
              <w:spacing w:line="0" w:lineRule="atLeast"/>
              <w:jc w:val="center"/>
              <w:rPr>
                <w:rFonts w:hint="default"/>
                <w:position w:val="10"/>
                <w:sz w:val="16"/>
                <w:szCs w:val="16"/>
              </w:rPr>
            </w:pPr>
            <w:r w:rsidRPr="00495087">
              <w:rPr>
                <w:position w:val="10"/>
                <w:sz w:val="16"/>
                <w:szCs w:val="16"/>
              </w:rPr>
              <w:t>55</w:t>
            </w:r>
            <w:r w:rsidR="00B65312" w:rsidRPr="00495087">
              <w:rPr>
                <w:position w:val="10"/>
                <w:sz w:val="16"/>
                <w:szCs w:val="16"/>
              </w:rPr>
              <w:t>点以上</w:t>
            </w:r>
          </w:p>
          <w:p w:rsidR="00634B50" w:rsidRPr="00495087" w:rsidRDefault="000455E6" w:rsidP="00495087">
            <w:pPr>
              <w:spacing w:line="0" w:lineRule="atLeast"/>
              <w:jc w:val="center"/>
              <w:rPr>
                <w:rFonts w:hint="default"/>
                <w:sz w:val="16"/>
                <w:szCs w:val="16"/>
              </w:rPr>
            </w:pPr>
            <w:r w:rsidRPr="00495087">
              <w:rPr>
                <w:position w:val="8"/>
                <w:sz w:val="16"/>
                <w:szCs w:val="16"/>
              </w:rPr>
              <w:t>60</w:t>
            </w:r>
            <w:r w:rsidRPr="00495087">
              <w:rPr>
                <w:position w:val="8"/>
                <w:sz w:val="16"/>
                <w:szCs w:val="16"/>
              </w:rPr>
              <w:t>点未満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50" w:rsidRPr="00495087" w:rsidRDefault="000455E6" w:rsidP="00495087">
            <w:pPr>
              <w:spacing w:line="0" w:lineRule="atLeast"/>
              <w:jc w:val="center"/>
              <w:rPr>
                <w:rFonts w:hint="default"/>
                <w:sz w:val="16"/>
                <w:szCs w:val="16"/>
              </w:rPr>
            </w:pPr>
            <w:r w:rsidRPr="00495087">
              <w:rPr>
                <w:position w:val="10"/>
                <w:sz w:val="16"/>
                <w:szCs w:val="16"/>
              </w:rPr>
              <w:t>60</w:t>
            </w:r>
            <w:r w:rsidRPr="00495087">
              <w:rPr>
                <w:position w:val="10"/>
                <w:sz w:val="16"/>
                <w:szCs w:val="16"/>
              </w:rPr>
              <w:t>点以上</w:t>
            </w:r>
          </w:p>
          <w:p w:rsidR="00634B50" w:rsidRPr="00495087" w:rsidRDefault="000455E6" w:rsidP="00495087">
            <w:pPr>
              <w:spacing w:line="0" w:lineRule="atLeast"/>
              <w:jc w:val="center"/>
              <w:rPr>
                <w:rFonts w:hint="default"/>
                <w:sz w:val="16"/>
                <w:szCs w:val="16"/>
              </w:rPr>
            </w:pPr>
            <w:r w:rsidRPr="00495087">
              <w:rPr>
                <w:position w:val="8"/>
                <w:sz w:val="16"/>
                <w:szCs w:val="16"/>
              </w:rPr>
              <w:t>65</w:t>
            </w:r>
            <w:r w:rsidRPr="00495087">
              <w:rPr>
                <w:position w:val="8"/>
                <w:sz w:val="16"/>
                <w:szCs w:val="16"/>
              </w:rPr>
              <w:t>点未満</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50" w:rsidRPr="00495087" w:rsidRDefault="000455E6" w:rsidP="00495087">
            <w:pPr>
              <w:spacing w:line="0" w:lineRule="atLeast"/>
              <w:jc w:val="center"/>
              <w:rPr>
                <w:rFonts w:hint="default"/>
                <w:sz w:val="16"/>
                <w:szCs w:val="16"/>
              </w:rPr>
            </w:pPr>
            <w:r w:rsidRPr="00495087">
              <w:rPr>
                <w:position w:val="10"/>
                <w:sz w:val="16"/>
                <w:szCs w:val="16"/>
              </w:rPr>
              <w:t>65</w:t>
            </w:r>
            <w:r w:rsidRPr="00495087">
              <w:rPr>
                <w:position w:val="10"/>
                <w:sz w:val="16"/>
                <w:szCs w:val="16"/>
              </w:rPr>
              <w:t>点以上</w:t>
            </w:r>
          </w:p>
          <w:p w:rsidR="00634B50" w:rsidRPr="00495087" w:rsidRDefault="000455E6" w:rsidP="00495087">
            <w:pPr>
              <w:spacing w:line="0" w:lineRule="atLeast"/>
              <w:jc w:val="center"/>
              <w:rPr>
                <w:rFonts w:hint="default"/>
                <w:sz w:val="16"/>
                <w:szCs w:val="16"/>
              </w:rPr>
            </w:pPr>
            <w:r w:rsidRPr="00495087">
              <w:rPr>
                <w:position w:val="8"/>
                <w:sz w:val="16"/>
                <w:szCs w:val="16"/>
              </w:rPr>
              <w:t>70</w:t>
            </w:r>
            <w:r w:rsidRPr="00495087">
              <w:rPr>
                <w:position w:val="8"/>
                <w:sz w:val="16"/>
                <w:szCs w:val="16"/>
              </w:rPr>
              <w:t>点未満</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50" w:rsidRPr="00495087" w:rsidRDefault="000455E6" w:rsidP="00495087">
            <w:pPr>
              <w:spacing w:line="0" w:lineRule="atLeast"/>
              <w:jc w:val="center"/>
              <w:rPr>
                <w:rFonts w:hint="default"/>
                <w:sz w:val="16"/>
                <w:szCs w:val="16"/>
              </w:rPr>
            </w:pPr>
            <w:r w:rsidRPr="00495087">
              <w:rPr>
                <w:position w:val="10"/>
                <w:sz w:val="16"/>
                <w:szCs w:val="16"/>
              </w:rPr>
              <w:t>70</w:t>
            </w:r>
            <w:r w:rsidRPr="00495087">
              <w:rPr>
                <w:position w:val="10"/>
                <w:sz w:val="16"/>
                <w:szCs w:val="16"/>
              </w:rPr>
              <w:t>点以上</w:t>
            </w:r>
          </w:p>
          <w:p w:rsidR="00634B50" w:rsidRPr="00495087" w:rsidRDefault="000455E6" w:rsidP="00495087">
            <w:pPr>
              <w:spacing w:line="0" w:lineRule="atLeast"/>
              <w:jc w:val="center"/>
              <w:rPr>
                <w:rFonts w:hint="default"/>
                <w:sz w:val="16"/>
                <w:szCs w:val="16"/>
              </w:rPr>
            </w:pPr>
            <w:r w:rsidRPr="00495087">
              <w:rPr>
                <w:position w:val="8"/>
                <w:sz w:val="16"/>
                <w:szCs w:val="16"/>
              </w:rPr>
              <w:t>75</w:t>
            </w:r>
            <w:r w:rsidRPr="00495087">
              <w:rPr>
                <w:position w:val="8"/>
                <w:sz w:val="16"/>
                <w:szCs w:val="16"/>
              </w:rPr>
              <w:t>点未満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50" w:rsidRPr="00495087" w:rsidRDefault="000455E6" w:rsidP="00495087">
            <w:pPr>
              <w:spacing w:line="0" w:lineRule="atLeast"/>
              <w:jc w:val="center"/>
              <w:rPr>
                <w:rFonts w:hint="default"/>
                <w:sz w:val="16"/>
                <w:szCs w:val="16"/>
              </w:rPr>
            </w:pPr>
            <w:r w:rsidRPr="00495087">
              <w:rPr>
                <w:position w:val="10"/>
                <w:sz w:val="16"/>
                <w:szCs w:val="16"/>
              </w:rPr>
              <w:t>75</w:t>
            </w:r>
            <w:r w:rsidRPr="00495087">
              <w:rPr>
                <w:position w:val="10"/>
                <w:sz w:val="16"/>
                <w:szCs w:val="16"/>
              </w:rPr>
              <w:t>点以上</w:t>
            </w:r>
          </w:p>
          <w:p w:rsidR="00634B50" w:rsidRPr="00495087" w:rsidRDefault="000455E6" w:rsidP="00495087">
            <w:pPr>
              <w:spacing w:line="0" w:lineRule="atLeast"/>
              <w:jc w:val="center"/>
              <w:rPr>
                <w:rFonts w:hint="default"/>
                <w:sz w:val="16"/>
                <w:szCs w:val="16"/>
              </w:rPr>
            </w:pPr>
            <w:r w:rsidRPr="00495087">
              <w:rPr>
                <w:position w:val="8"/>
                <w:sz w:val="16"/>
                <w:szCs w:val="16"/>
              </w:rPr>
              <w:t>80</w:t>
            </w:r>
            <w:r w:rsidRPr="00495087">
              <w:rPr>
                <w:position w:val="8"/>
                <w:sz w:val="16"/>
                <w:szCs w:val="16"/>
              </w:rPr>
              <w:t>点未満</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50" w:rsidRPr="00495087" w:rsidRDefault="000455E6" w:rsidP="00495087">
            <w:pPr>
              <w:spacing w:line="0" w:lineRule="atLeast"/>
              <w:jc w:val="center"/>
              <w:rPr>
                <w:rFonts w:hint="default"/>
                <w:sz w:val="16"/>
                <w:szCs w:val="16"/>
              </w:rPr>
            </w:pPr>
            <w:r w:rsidRPr="00495087">
              <w:rPr>
                <w:position w:val="10"/>
                <w:sz w:val="16"/>
                <w:szCs w:val="16"/>
              </w:rPr>
              <w:t>80</w:t>
            </w:r>
            <w:r w:rsidRPr="00495087">
              <w:rPr>
                <w:position w:val="10"/>
                <w:sz w:val="16"/>
                <w:szCs w:val="16"/>
              </w:rPr>
              <w:t>点以上</w:t>
            </w:r>
          </w:p>
          <w:p w:rsidR="00634B50" w:rsidRPr="00495087" w:rsidRDefault="000455E6" w:rsidP="00495087">
            <w:pPr>
              <w:spacing w:line="0" w:lineRule="atLeast"/>
              <w:jc w:val="center"/>
              <w:rPr>
                <w:rFonts w:hint="default"/>
                <w:sz w:val="16"/>
                <w:szCs w:val="16"/>
              </w:rPr>
            </w:pPr>
            <w:r w:rsidRPr="00495087">
              <w:rPr>
                <w:position w:val="8"/>
                <w:sz w:val="16"/>
                <w:szCs w:val="16"/>
              </w:rPr>
              <w:t>85</w:t>
            </w:r>
            <w:r w:rsidRPr="00495087">
              <w:rPr>
                <w:position w:val="8"/>
                <w:sz w:val="16"/>
                <w:szCs w:val="16"/>
              </w:rPr>
              <w:t>点未満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50" w:rsidRPr="00495087" w:rsidRDefault="000455E6" w:rsidP="00495087">
            <w:pPr>
              <w:spacing w:line="0" w:lineRule="atLeast"/>
              <w:jc w:val="center"/>
              <w:rPr>
                <w:rFonts w:hint="default"/>
                <w:sz w:val="16"/>
                <w:szCs w:val="16"/>
              </w:rPr>
            </w:pPr>
            <w:r w:rsidRPr="00495087">
              <w:rPr>
                <w:position w:val="10"/>
                <w:sz w:val="16"/>
                <w:szCs w:val="16"/>
              </w:rPr>
              <w:t>85</w:t>
            </w:r>
            <w:r w:rsidRPr="00495087">
              <w:rPr>
                <w:position w:val="10"/>
                <w:sz w:val="16"/>
                <w:szCs w:val="16"/>
              </w:rPr>
              <w:t>点以上</w:t>
            </w:r>
          </w:p>
          <w:p w:rsidR="00634B50" w:rsidRPr="00495087" w:rsidRDefault="000455E6" w:rsidP="00495087">
            <w:pPr>
              <w:spacing w:line="0" w:lineRule="atLeast"/>
              <w:jc w:val="center"/>
              <w:rPr>
                <w:rFonts w:hint="default"/>
                <w:sz w:val="16"/>
                <w:szCs w:val="16"/>
              </w:rPr>
            </w:pPr>
            <w:r w:rsidRPr="00495087">
              <w:rPr>
                <w:position w:val="8"/>
                <w:sz w:val="16"/>
                <w:szCs w:val="16"/>
              </w:rPr>
              <w:t>90</w:t>
            </w:r>
            <w:r w:rsidRPr="00495087">
              <w:rPr>
                <w:position w:val="8"/>
                <w:sz w:val="16"/>
                <w:szCs w:val="16"/>
              </w:rPr>
              <w:t>点未満</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12" w:rsidRPr="00495087" w:rsidRDefault="000455E6" w:rsidP="00495087">
            <w:pPr>
              <w:spacing w:line="0" w:lineRule="atLeast"/>
              <w:jc w:val="center"/>
              <w:rPr>
                <w:rFonts w:hint="default"/>
                <w:sz w:val="16"/>
                <w:szCs w:val="16"/>
              </w:rPr>
            </w:pPr>
            <w:r w:rsidRPr="00495087">
              <w:rPr>
                <w:position w:val="10"/>
                <w:sz w:val="16"/>
                <w:szCs w:val="16"/>
              </w:rPr>
              <w:t>90</w:t>
            </w:r>
            <w:r w:rsidRPr="00495087">
              <w:rPr>
                <w:position w:val="10"/>
                <w:sz w:val="16"/>
                <w:szCs w:val="16"/>
              </w:rPr>
              <w:t>点</w:t>
            </w:r>
          </w:p>
          <w:p w:rsidR="00634B50" w:rsidRPr="00495087" w:rsidRDefault="000455E6" w:rsidP="00495087">
            <w:pPr>
              <w:spacing w:line="0" w:lineRule="atLeast"/>
              <w:jc w:val="center"/>
              <w:rPr>
                <w:rFonts w:hint="default"/>
                <w:sz w:val="16"/>
                <w:szCs w:val="16"/>
              </w:rPr>
            </w:pPr>
            <w:r w:rsidRPr="00495087">
              <w:rPr>
                <w:position w:val="8"/>
                <w:sz w:val="16"/>
                <w:szCs w:val="16"/>
              </w:rPr>
              <w:t>以上</w:t>
            </w:r>
          </w:p>
        </w:tc>
      </w:tr>
      <w:tr w:rsidR="00634B50" w:rsidTr="00740F5D">
        <w:trPr>
          <w:trHeight w:val="281"/>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付加点数</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w:t>
            </w:r>
            <w:r w:rsidRPr="00495087">
              <w:rPr>
                <w:position w:val="15"/>
                <w:sz w:val="18"/>
                <w:szCs w:val="18"/>
              </w:rPr>
              <w:t>25</w:t>
            </w:r>
            <w:r w:rsidRPr="00495087">
              <w:rPr>
                <w:position w:val="15"/>
                <w:sz w:val="18"/>
                <w:szCs w:val="18"/>
              </w:rPr>
              <w:t>点</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w:t>
            </w:r>
            <w:r w:rsidRPr="00495087">
              <w:rPr>
                <w:position w:val="15"/>
                <w:sz w:val="18"/>
                <w:szCs w:val="18"/>
              </w:rPr>
              <w:t>20</w:t>
            </w:r>
            <w:r w:rsidRPr="00495087">
              <w:rPr>
                <w:position w:val="15"/>
                <w:sz w:val="18"/>
                <w:szCs w:val="18"/>
              </w:rPr>
              <w:t>点</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w:t>
            </w:r>
            <w:r w:rsidRPr="00495087">
              <w:rPr>
                <w:position w:val="15"/>
                <w:sz w:val="18"/>
                <w:szCs w:val="18"/>
              </w:rPr>
              <w:t>15</w:t>
            </w:r>
            <w:r w:rsidRPr="00495087">
              <w:rPr>
                <w:position w:val="15"/>
                <w:sz w:val="18"/>
                <w:szCs w:val="18"/>
              </w:rPr>
              <w:t>点</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0</w:t>
            </w:r>
            <w:r w:rsidRPr="00495087">
              <w:rPr>
                <w:position w:val="15"/>
                <w:sz w:val="18"/>
                <w:szCs w:val="18"/>
              </w:rPr>
              <w:t>点</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+20</w:t>
            </w:r>
            <w:r w:rsidRPr="00495087">
              <w:rPr>
                <w:position w:val="15"/>
                <w:sz w:val="18"/>
                <w:szCs w:val="18"/>
              </w:rPr>
              <w:t>点</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+30</w:t>
            </w:r>
            <w:r w:rsidRPr="00495087">
              <w:rPr>
                <w:position w:val="15"/>
                <w:sz w:val="18"/>
                <w:szCs w:val="18"/>
              </w:rPr>
              <w:t>点</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+40</w:t>
            </w:r>
            <w:r w:rsidRPr="00495087">
              <w:rPr>
                <w:position w:val="15"/>
                <w:sz w:val="18"/>
                <w:szCs w:val="18"/>
              </w:rPr>
              <w:t>点</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+50</w:t>
            </w:r>
            <w:r w:rsidRPr="00495087">
              <w:rPr>
                <w:position w:val="15"/>
                <w:sz w:val="18"/>
                <w:szCs w:val="18"/>
              </w:rPr>
              <w:t>点</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495087" w:rsidRDefault="000455E6" w:rsidP="00495087">
            <w:pPr>
              <w:spacing w:beforeLines="50" w:before="126"/>
              <w:jc w:val="center"/>
              <w:rPr>
                <w:rFonts w:hint="default"/>
                <w:sz w:val="18"/>
                <w:szCs w:val="18"/>
              </w:rPr>
            </w:pPr>
            <w:r w:rsidRPr="00495087">
              <w:rPr>
                <w:position w:val="15"/>
                <w:sz w:val="18"/>
                <w:szCs w:val="18"/>
              </w:rPr>
              <w:t>+60</w:t>
            </w:r>
            <w:r w:rsidRPr="00495087">
              <w:rPr>
                <w:position w:val="15"/>
                <w:sz w:val="18"/>
                <w:szCs w:val="18"/>
              </w:rPr>
              <w:t>点</w:t>
            </w:r>
          </w:p>
        </w:tc>
      </w:tr>
    </w:tbl>
    <w:p w:rsidR="00493B7D" w:rsidRDefault="00493B7D">
      <w:pPr>
        <w:spacing w:line="252" w:lineRule="exact"/>
        <w:rPr>
          <w:rFonts w:hint="default"/>
        </w:rPr>
      </w:pPr>
    </w:p>
    <w:p w:rsidR="00757900" w:rsidRPr="00757900" w:rsidRDefault="00495087">
      <w:pPr>
        <w:spacing w:line="252" w:lineRule="exact"/>
        <w:rPr>
          <w:rFonts w:hint="default"/>
        </w:rPr>
      </w:pPr>
      <w:r>
        <w:t>（２）技術者数（業種別）</w:t>
      </w:r>
    </w:p>
    <w:p w:rsidR="00740F5D" w:rsidRDefault="00493B7D" w:rsidP="00740F5D">
      <w:pPr>
        <w:spacing w:line="252" w:lineRule="exact"/>
        <w:ind w:leftChars="140" w:left="282"/>
        <w:rPr>
          <w:rFonts w:hint="default"/>
        </w:rPr>
      </w:pPr>
      <w:r>
        <w:t xml:space="preserve">　</w:t>
      </w:r>
      <w:r w:rsidR="00740F5D">
        <w:t xml:space="preserve">ア　</w:t>
      </w:r>
      <w:r w:rsidR="000455E6">
        <w:t xml:space="preserve">土木・ほ装　　　１級技術者　　１人につき　</w:t>
      </w:r>
      <w:r w:rsidR="00DF534F">
        <w:t xml:space="preserve">　</w:t>
      </w:r>
      <w:r w:rsidR="000455E6">
        <w:t>＋３点</w:t>
      </w:r>
    </w:p>
    <w:p w:rsidR="00740F5D" w:rsidRDefault="00493B7D" w:rsidP="00740F5D">
      <w:pPr>
        <w:spacing w:line="252" w:lineRule="exact"/>
        <w:ind w:leftChars="140" w:left="282"/>
        <w:rPr>
          <w:rFonts w:hint="default"/>
        </w:rPr>
      </w:pPr>
      <w:r>
        <w:t xml:space="preserve">　</w:t>
      </w:r>
      <w:r w:rsidR="00740F5D">
        <w:t xml:space="preserve">　　</w:t>
      </w:r>
      <w:r w:rsidR="000455E6">
        <w:t>工事業</w:t>
      </w:r>
      <w:r w:rsidR="000455E6">
        <w:t xml:space="preserve">          </w:t>
      </w:r>
      <w:r w:rsidR="000455E6">
        <w:t>２級技術者</w:t>
      </w:r>
      <w:r w:rsidR="000455E6">
        <w:t xml:space="preserve">    </w:t>
      </w:r>
      <w:r w:rsidR="000455E6">
        <w:t xml:space="preserve">１人につき　</w:t>
      </w:r>
      <w:r w:rsidR="00DF534F">
        <w:t xml:space="preserve">　</w:t>
      </w:r>
      <w:r w:rsidR="000455E6">
        <w:t>＋１点</w:t>
      </w:r>
    </w:p>
    <w:p w:rsidR="00740F5D" w:rsidRDefault="00740F5D" w:rsidP="00740F5D">
      <w:pPr>
        <w:spacing w:line="252" w:lineRule="exact"/>
        <w:ind w:leftChars="140" w:left="282"/>
        <w:rPr>
          <w:rFonts w:hint="default"/>
        </w:rPr>
      </w:pPr>
      <w:r>
        <w:t xml:space="preserve">　</w:t>
      </w:r>
      <w:r w:rsidR="00493B7D">
        <w:t xml:space="preserve">　</w:t>
      </w:r>
      <w:r>
        <w:t xml:space="preserve">　　　　　　　　　</w:t>
      </w:r>
      <w:r w:rsidR="000455E6">
        <w:t xml:space="preserve">技術士　　　　１人につき　</w:t>
      </w:r>
      <w:r w:rsidR="00DF534F">
        <w:t xml:space="preserve">　</w:t>
      </w:r>
      <w:r w:rsidR="000455E6">
        <w:t>＋３点</w:t>
      </w:r>
    </w:p>
    <w:p w:rsidR="00740F5D" w:rsidRDefault="00740F5D" w:rsidP="00757900">
      <w:pPr>
        <w:spacing w:line="252" w:lineRule="exact"/>
        <w:ind w:leftChars="140" w:left="282"/>
        <w:rPr>
          <w:rFonts w:hint="default"/>
        </w:rPr>
      </w:pPr>
      <w:r>
        <w:t xml:space="preserve">　　</w:t>
      </w:r>
      <w:r w:rsidR="00493B7D">
        <w:t xml:space="preserve">　</w:t>
      </w:r>
      <w:r>
        <w:t xml:space="preserve">　　　　　　　</w:t>
      </w:r>
      <w:r>
        <w:t xml:space="preserve"> </w:t>
      </w:r>
      <w:r w:rsidR="000455E6">
        <w:t>（建設部門、農業部門、林業部門、水産部門に限る。上記技術者と重複可）</w:t>
      </w:r>
    </w:p>
    <w:p w:rsidR="00757900" w:rsidRDefault="00493B7D" w:rsidP="00757900">
      <w:pPr>
        <w:spacing w:line="252" w:lineRule="exact"/>
        <w:ind w:leftChars="140" w:left="282"/>
        <w:rPr>
          <w:rFonts w:hint="default"/>
        </w:rPr>
      </w:pPr>
      <w:r>
        <w:t xml:space="preserve">　</w:t>
      </w:r>
      <w:r w:rsidR="000455E6">
        <w:t xml:space="preserve">イ　建築工事業　　　１級技術者　　１人につき　</w:t>
      </w:r>
      <w:r w:rsidR="00DF534F">
        <w:t xml:space="preserve">　</w:t>
      </w:r>
      <w:r w:rsidR="000455E6">
        <w:t>＋３点</w:t>
      </w:r>
    </w:p>
    <w:p w:rsidR="00757900" w:rsidRDefault="00757900" w:rsidP="00757900">
      <w:pPr>
        <w:spacing w:line="252" w:lineRule="exact"/>
        <w:ind w:leftChars="140" w:left="282"/>
        <w:rPr>
          <w:rFonts w:hint="default"/>
        </w:rPr>
      </w:pPr>
      <w:r>
        <w:t xml:space="preserve">　</w:t>
      </w:r>
      <w:r w:rsidR="00493B7D">
        <w:t xml:space="preserve">　</w:t>
      </w:r>
      <w:r>
        <w:t xml:space="preserve">　　　　　　　　　</w:t>
      </w:r>
      <w:r w:rsidR="000455E6">
        <w:t xml:space="preserve">２級技術者　　１人につき　</w:t>
      </w:r>
      <w:r w:rsidR="00DF534F">
        <w:t xml:space="preserve">　</w:t>
      </w:r>
      <w:r w:rsidR="000455E6">
        <w:t>＋１点</w:t>
      </w:r>
    </w:p>
    <w:p w:rsidR="00757900" w:rsidRDefault="00757900" w:rsidP="00757900">
      <w:pPr>
        <w:spacing w:line="252" w:lineRule="exact"/>
        <w:ind w:leftChars="140" w:left="282"/>
        <w:rPr>
          <w:rFonts w:hint="default"/>
        </w:rPr>
      </w:pPr>
      <w:r>
        <w:t xml:space="preserve">　　</w:t>
      </w:r>
      <w:r w:rsidR="00493B7D">
        <w:t xml:space="preserve">　</w:t>
      </w:r>
      <w:r>
        <w:t xml:space="preserve">　　　　　　　　</w:t>
      </w:r>
      <w:r w:rsidR="000455E6">
        <w:t xml:space="preserve">積算士　　　　１人につき　</w:t>
      </w:r>
      <w:r w:rsidR="00DF534F">
        <w:t xml:space="preserve">　</w:t>
      </w:r>
      <w:r w:rsidR="000455E6">
        <w:t>＋３点</w:t>
      </w:r>
    </w:p>
    <w:p w:rsidR="00757900" w:rsidRDefault="00757900" w:rsidP="00757900">
      <w:pPr>
        <w:spacing w:line="252" w:lineRule="exact"/>
        <w:ind w:leftChars="140" w:left="282"/>
        <w:rPr>
          <w:rFonts w:hint="default"/>
        </w:rPr>
      </w:pPr>
      <w:r>
        <w:t xml:space="preserve">　　　　　　　　　</w:t>
      </w:r>
      <w:r>
        <w:t xml:space="preserve"> </w:t>
      </w:r>
      <w:r w:rsidR="00493B7D">
        <w:t xml:space="preserve">　</w:t>
      </w:r>
      <w:r w:rsidR="000455E6">
        <w:t>（上記技術者と重複可）</w:t>
      </w:r>
    </w:p>
    <w:p w:rsidR="00757900" w:rsidRDefault="00493B7D" w:rsidP="00757900">
      <w:pPr>
        <w:spacing w:line="252" w:lineRule="exact"/>
        <w:ind w:leftChars="140" w:left="282"/>
        <w:rPr>
          <w:rFonts w:hint="default"/>
        </w:rPr>
      </w:pPr>
      <w:r>
        <w:t xml:space="preserve">　</w:t>
      </w:r>
      <w:r w:rsidR="00757900">
        <w:t>ウ　電気・管事業</w:t>
      </w:r>
      <w:r w:rsidR="000455E6">
        <w:t xml:space="preserve">    </w:t>
      </w:r>
      <w:r w:rsidR="000455E6">
        <w:t xml:space="preserve">１級技術者　　１人につき　</w:t>
      </w:r>
      <w:r w:rsidR="00DF534F">
        <w:t xml:space="preserve">　</w:t>
      </w:r>
      <w:r w:rsidR="000455E6">
        <w:t>＋３点</w:t>
      </w:r>
    </w:p>
    <w:p w:rsidR="00634B50" w:rsidRDefault="00757900" w:rsidP="007462B8">
      <w:pPr>
        <w:spacing w:line="252" w:lineRule="exact"/>
        <w:ind w:leftChars="140" w:left="282"/>
        <w:rPr>
          <w:rFonts w:hint="default"/>
        </w:rPr>
      </w:pPr>
      <w:r>
        <w:t xml:space="preserve">　</w:t>
      </w:r>
      <w:r w:rsidR="00493B7D">
        <w:t xml:space="preserve">　</w:t>
      </w:r>
      <w:r>
        <w:t xml:space="preserve">　　　　　　　　　</w:t>
      </w:r>
      <w:r w:rsidR="000455E6">
        <w:t xml:space="preserve">２級技術者　　１人につき　</w:t>
      </w:r>
      <w:r w:rsidR="00DF534F">
        <w:t xml:space="preserve">　</w:t>
      </w:r>
      <w:r w:rsidR="000455E6">
        <w:t>＋１点</w:t>
      </w:r>
    </w:p>
    <w:p w:rsidR="00C85692" w:rsidRDefault="00B90E13" w:rsidP="007462B8">
      <w:pPr>
        <w:spacing w:line="252" w:lineRule="exact"/>
        <w:ind w:leftChars="140" w:left="282"/>
        <w:rPr>
          <w:rFonts w:hint="default"/>
        </w:rPr>
      </w:pPr>
      <w:r>
        <w:t xml:space="preserve">　</w:t>
      </w:r>
      <w:r w:rsidR="00C85692">
        <w:t>※</w:t>
      </w:r>
      <w:r w:rsidR="00697DFA">
        <w:t xml:space="preserve">　対象は、令和</w:t>
      </w:r>
      <w:r w:rsidR="00A16C23">
        <w:t>5</w:t>
      </w:r>
      <w:r>
        <w:t>年</w:t>
      </w:r>
      <w:r>
        <w:t>11</w:t>
      </w:r>
      <w:r>
        <w:t>月</w:t>
      </w:r>
      <w:r>
        <w:t>1</w:t>
      </w:r>
      <w:r w:rsidR="00BF46CB">
        <w:t>日以前に雇用された者で、令和</w:t>
      </w:r>
      <w:r w:rsidR="00A16C23">
        <w:t>6</w:t>
      </w:r>
      <w:r>
        <w:t>年</w:t>
      </w:r>
      <w:r>
        <w:t>2</w:t>
      </w:r>
      <w:r>
        <w:t>月</w:t>
      </w:r>
      <w:r>
        <w:t>1</w:t>
      </w:r>
      <w:r w:rsidR="00C85692">
        <w:t>日</w:t>
      </w:r>
      <w:r>
        <w:t>時点の技術者とする。</w:t>
      </w:r>
    </w:p>
    <w:p w:rsidR="00B90E13" w:rsidRDefault="00B90E13" w:rsidP="007462B8">
      <w:pPr>
        <w:spacing w:line="252" w:lineRule="exact"/>
        <w:ind w:leftChars="140" w:left="282"/>
        <w:rPr>
          <w:rFonts w:hint="default"/>
        </w:rPr>
      </w:pPr>
    </w:p>
    <w:p w:rsidR="00757900" w:rsidRDefault="000455E6">
      <w:pPr>
        <w:spacing w:line="252" w:lineRule="exact"/>
        <w:rPr>
          <w:rFonts w:hint="default"/>
        </w:rPr>
      </w:pPr>
      <w:r>
        <w:t>（３）雇用の規模</w:t>
      </w:r>
    </w:p>
    <w:p w:rsidR="000C00F0" w:rsidRDefault="000455E6" w:rsidP="000C00F0">
      <w:pPr>
        <w:spacing w:line="252" w:lineRule="exact"/>
        <w:ind w:leftChars="190" w:left="383"/>
        <w:rPr>
          <w:rFonts w:hint="default"/>
        </w:rPr>
      </w:pPr>
      <w:r>
        <w:t>厚生年金保険被保険者標準報酬決定通知書</w:t>
      </w:r>
      <w:r w:rsidR="000C00F0">
        <w:t>又は、雇用保険被保険者証</w:t>
      </w:r>
      <w:r>
        <w:t>における</w:t>
      </w:r>
      <w:r w:rsidR="000C00F0">
        <w:t>宮古島市在住の</w:t>
      </w:r>
      <w:r>
        <w:t>被保</w:t>
      </w:r>
    </w:p>
    <w:p w:rsidR="00757900" w:rsidRDefault="000455E6" w:rsidP="000C00F0">
      <w:pPr>
        <w:spacing w:line="252" w:lineRule="exact"/>
        <w:ind w:leftChars="190" w:left="383"/>
        <w:rPr>
          <w:rFonts w:hint="default"/>
        </w:rPr>
      </w:pPr>
      <w:r>
        <w:t>険者数</w:t>
      </w:r>
    </w:p>
    <w:p w:rsidR="00757900" w:rsidRDefault="00493B7D" w:rsidP="00757900">
      <w:pPr>
        <w:spacing w:line="252" w:lineRule="exact"/>
        <w:ind w:leftChars="140" w:left="282"/>
        <w:rPr>
          <w:rFonts w:hint="default"/>
        </w:rPr>
      </w:pPr>
      <w:r>
        <w:t xml:space="preserve">　</w:t>
      </w:r>
      <w:r w:rsidR="00757900">
        <w:t xml:space="preserve">　　　　　　　　　　</w:t>
      </w:r>
      <w:r w:rsidR="000455E6">
        <w:t xml:space="preserve">被保険者　</w:t>
      </w:r>
      <w:r w:rsidR="00757900">
        <w:t xml:space="preserve">　　</w:t>
      </w:r>
      <w:r w:rsidR="000455E6">
        <w:t xml:space="preserve">１人につき　</w:t>
      </w:r>
      <w:r w:rsidR="00757900">
        <w:t xml:space="preserve">　＋１点</w:t>
      </w:r>
      <w:r w:rsidR="000455E6">
        <w:t>（但し５０点を上限とする。）</w:t>
      </w:r>
    </w:p>
    <w:p w:rsidR="007462B8" w:rsidRDefault="007462B8" w:rsidP="007462B8">
      <w:pPr>
        <w:tabs>
          <w:tab w:val="left" w:pos="142"/>
        </w:tabs>
        <w:spacing w:line="252" w:lineRule="exact"/>
        <w:rPr>
          <w:rFonts w:hint="default"/>
        </w:rPr>
      </w:pPr>
    </w:p>
    <w:p w:rsidR="00D14DEE" w:rsidRDefault="000455E6" w:rsidP="007462B8">
      <w:pPr>
        <w:tabs>
          <w:tab w:val="left" w:pos="142"/>
        </w:tabs>
        <w:spacing w:line="252" w:lineRule="exact"/>
        <w:rPr>
          <w:rFonts w:hint="default"/>
        </w:rPr>
      </w:pPr>
      <w:r>
        <w:t>（４）</w:t>
      </w:r>
      <w:r w:rsidR="00D14DEE">
        <w:t>障害者雇用（「障害者の雇用の促進等に関する法律」に基づく雇用状況）</w:t>
      </w:r>
    </w:p>
    <w:p w:rsidR="00D14DEE" w:rsidRDefault="00493B7D" w:rsidP="00D14DEE">
      <w:pPr>
        <w:spacing w:line="252" w:lineRule="exact"/>
        <w:ind w:leftChars="140" w:left="282"/>
        <w:rPr>
          <w:rFonts w:hint="default"/>
        </w:rPr>
      </w:pPr>
      <w:r>
        <w:t xml:space="preserve">　</w:t>
      </w:r>
      <w:r w:rsidR="000455E6">
        <w:t>ア　法定雇用義務がある場合</w:t>
      </w:r>
    </w:p>
    <w:p w:rsidR="00D14DEE" w:rsidRDefault="00D14DEE" w:rsidP="00D14DEE">
      <w:pPr>
        <w:spacing w:line="252" w:lineRule="exact"/>
        <w:ind w:leftChars="140" w:left="282"/>
        <w:rPr>
          <w:rFonts w:hint="default"/>
        </w:rPr>
      </w:pPr>
      <w:r>
        <w:t xml:space="preserve">　</w:t>
      </w:r>
      <w:r w:rsidR="00493B7D">
        <w:t xml:space="preserve">　</w:t>
      </w:r>
      <w:r>
        <w:t xml:space="preserve">　</w:t>
      </w:r>
      <w:r w:rsidR="00E61D72">
        <w:t xml:space="preserve">雇用義務を達成している　　</w:t>
      </w:r>
      <w:r w:rsidR="00495087">
        <w:t xml:space="preserve">　</w:t>
      </w:r>
      <w:r>
        <w:t xml:space="preserve">　</w:t>
      </w:r>
      <w:r w:rsidR="000455E6">
        <w:t>＋５点</w:t>
      </w:r>
    </w:p>
    <w:p w:rsidR="00D14DEE" w:rsidRDefault="00D14DEE" w:rsidP="00D14DEE">
      <w:pPr>
        <w:spacing w:line="252" w:lineRule="exact"/>
        <w:ind w:leftChars="140" w:left="282"/>
        <w:rPr>
          <w:rFonts w:hint="default"/>
        </w:rPr>
      </w:pPr>
      <w:r>
        <w:lastRenderedPageBreak/>
        <w:t xml:space="preserve">　　</w:t>
      </w:r>
      <w:r w:rsidR="00493B7D">
        <w:t xml:space="preserve">　</w:t>
      </w:r>
      <w:r w:rsidR="000455E6">
        <w:t xml:space="preserve">法定以上に雇用している　</w:t>
      </w:r>
      <w:r w:rsidR="00495087">
        <w:t xml:space="preserve">　</w:t>
      </w:r>
      <w:r>
        <w:t xml:space="preserve">　　＋</w:t>
      </w:r>
      <w:r w:rsidR="009C6C6C">
        <w:t>５点に加え、法定数を超える</w:t>
      </w:r>
      <w:r w:rsidR="000455E6">
        <w:t>分については＋５点／人</w:t>
      </w:r>
    </w:p>
    <w:p w:rsidR="00D14DEE" w:rsidRPr="00D14DEE" w:rsidRDefault="00D14DEE" w:rsidP="00D14DEE">
      <w:pPr>
        <w:spacing w:line="252" w:lineRule="exact"/>
        <w:ind w:leftChars="140" w:left="282"/>
        <w:rPr>
          <w:rFonts w:hint="default"/>
        </w:rPr>
      </w:pPr>
      <w:r>
        <w:t xml:space="preserve">　</w:t>
      </w:r>
      <w:r w:rsidR="00493B7D">
        <w:t xml:space="preserve">　</w:t>
      </w:r>
      <w:r>
        <w:t xml:space="preserve">　</w:t>
      </w:r>
      <w:r w:rsidR="00E61D72">
        <w:t>雇用義務を達成していない</w:t>
      </w:r>
      <w:r w:rsidR="000455E6">
        <w:t xml:space="preserve">　</w:t>
      </w:r>
      <w:r w:rsidR="00495087">
        <w:t xml:space="preserve">　</w:t>
      </w:r>
      <w:r>
        <w:t xml:space="preserve">　</w:t>
      </w:r>
      <w:r w:rsidR="000455E6">
        <w:t>－５点</w:t>
      </w:r>
    </w:p>
    <w:p w:rsidR="00D14DEE" w:rsidRDefault="00493B7D" w:rsidP="00D14DEE">
      <w:pPr>
        <w:spacing w:line="252" w:lineRule="exact"/>
        <w:ind w:leftChars="140" w:left="282"/>
        <w:rPr>
          <w:rFonts w:hint="default"/>
        </w:rPr>
      </w:pPr>
      <w:r>
        <w:t xml:space="preserve">　</w:t>
      </w:r>
      <w:r w:rsidR="000455E6">
        <w:t>イ　法定雇用義務がない場合</w:t>
      </w:r>
    </w:p>
    <w:p w:rsidR="006C5569" w:rsidRDefault="00493B7D" w:rsidP="00B90E13">
      <w:pPr>
        <w:spacing w:line="252" w:lineRule="exact"/>
        <w:ind w:leftChars="140" w:left="282"/>
        <w:rPr>
          <w:rFonts w:hint="default"/>
          <w:color w:val="auto"/>
        </w:rPr>
      </w:pPr>
      <w:r w:rsidRPr="00080D7B">
        <w:rPr>
          <w:color w:val="auto"/>
        </w:rPr>
        <w:t xml:space="preserve">　</w:t>
      </w:r>
      <w:r w:rsidR="00D14DEE" w:rsidRPr="00080D7B">
        <w:rPr>
          <w:color w:val="auto"/>
        </w:rPr>
        <w:t xml:space="preserve">　　</w:t>
      </w:r>
      <w:r w:rsidR="00E61D72" w:rsidRPr="00080D7B">
        <w:rPr>
          <w:color w:val="auto"/>
        </w:rPr>
        <w:t xml:space="preserve">雇用している　　　　　　　</w:t>
      </w:r>
      <w:r w:rsidR="00495087" w:rsidRPr="00080D7B">
        <w:rPr>
          <w:color w:val="auto"/>
        </w:rPr>
        <w:t xml:space="preserve">　</w:t>
      </w:r>
      <w:r w:rsidR="00D14DEE" w:rsidRPr="00080D7B">
        <w:rPr>
          <w:color w:val="auto"/>
        </w:rPr>
        <w:t xml:space="preserve">　</w:t>
      </w:r>
      <w:r w:rsidR="000455E6" w:rsidRPr="00080D7B">
        <w:rPr>
          <w:color w:val="auto"/>
        </w:rPr>
        <w:t>＋５点</w:t>
      </w:r>
      <w:r w:rsidR="006D1FED" w:rsidRPr="00080D7B">
        <w:rPr>
          <w:color w:val="auto"/>
        </w:rPr>
        <w:t>／人</w:t>
      </w:r>
    </w:p>
    <w:p w:rsidR="009A264B" w:rsidRPr="00080D7B" w:rsidRDefault="009A264B">
      <w:pPr>
        <w:spacing w:line="252" w:lineRule="exact"/>
        <w:rPr>
          <w:rFonts w:hint="default"/>
          <w:color w:val="auto"/>
        </w:rPr>
      </w:pPr>
      <w:r w:rsidRPr="00080D7B">
        <w:rPr>
          <w:color w:val="auto"/>
        </w:rPr>
        <w:t>（５）表彰</w:t>
      </w:r>
    </w:p>
    <w:p w:rsidR="009A264B" w:rsidRPr="00080D7B" w:rsidRDefault="00493B7D" w:rsidP="009A264B">
      <w:pPr>
        <w:spacing w:line="252" w:lineRule="exact"/>
        <w:ind w:leftChars="140" w:left="282"/>
        <w:rPr>
          <w:rFonts w:hint="default"/>
          <w:color w:val="auto"/>
        </w:rPr>
      </w:pPr>
      <w:r w:rsidRPr="00080D7B">
        <w:rPr>
          <w:color w:val="auto"/>
        </w:rPr>
        <w:t xml:space="preserve">　</w:t>
      </w:r>
      <w:r w:rsidR="00346D6B" w:rsidRPr="00080D7B">
        <w:rPr>
          <w:color w:val="auto"/>
        </w:rPr>
        <w:t>宮古島市優良建設業者表彰　　　　＋１５</w:t>
      </w:r>
      <w:r w:rsidR="00B64FC9" w:rsidRPr="00080D7B">
        <w:rPr>
          <w:color w:val="auto"/>
        </w:rPr>
        <w:t>点（</w:t>
      </w:r>
      <w:r w:rsidR="00AA24DE" w:rsidRPr="00080D7B">
        <w:rPr>
          <w:color w:val="auto"/>
        </w:rPr>
        <w:t>対象期間：</w:t>
      </w:r>
      <w:r w:rsidR="00BA7112">
        <w:rPr>
          <w:color w:val="auto"/>
        </w:rPr>
        <w:t>令和</w:t>
      </w:r>
      <w:r w:rsidR="0060005B">
        <w:rPr>
          <w:color w:val="auto"/>
        </w:rPr>
        <w:t>３</w:t>
      </w:r>
      <w:r w:rsidR="00BA7112">
        <w:rPr>
          <w:color w:val="auto"/>
        </w:rPr>
        <w:t>・</w:t>
      </w:r>
      <w:r w:rsidR="0060005B">
        <w:rPr>
          <w:color w:val="auto"/>
        </w:rPr>
        <w:t>４</w:t>
      </w:r>
      <w:r w:rsidR="00C13184" w:rsidRPr="00080D7B">
        <w:rPr>
          <w:color w:val="auto"/>
        </w:rPr>
        <w:t>年度）</w:t>
      </w:r>
    </w:p>
    <w:p w:rsidR="009A264B" w:rsidRPr="00080D7B" w:rsidRDefault="009A264B">
      <w:pPr>
        <w:spacing w:line="252" w:lineRule="exact"/>
        <w:rPr>
          <w:rFonts w:hint="default"/>
          <w:color w:val="auto"/>
        </w:rPr>
      </w:pPr>
    </w:p>
    <w:p w:rsidR="00D14DEE" w:rsidRPr="00080D7B" w:rsidRDefault="00C13184">
      <w:pPr>
        <w:spacing w:line="252" w:lineRule="exact"/>
        <w:rPr>
          <w:rFonts w:hint="default"/>
          <w:color w:val="auto"/>
        </w:rPr>
      </w:pPr>
      <w:r w:rsidRPr="00080D7B">
        <w:rPr>
          <w:color w:val="auto"/>
        </w:rPr>
        <w:t>（６</w:t>
      </w:r>
      <w:r w:rsidR="000455E6" w:rsidRPr="00080D7B">
        <w:rPr>
          <w:color w:val="auto"/>
        </w:rPr>
        <w:t>）マネジメン</w:t>
      </w:r>
      <w:r w:rsidR="00495087" w:rsidRPr="00080D7B">
        <w:rPr>
          <w:color w:val="auto"/>
        </w:rPr>
        <w:t>トシステムの認証取得</w:t>
      </w:r>
      <w:r w:rsidR="006114CF">
        <w:rPr>
          <w:color w:val="auto"/>
        </w:rPr>
        <w:t>（令和</w:t>
      </w:r>
      <w:r w:rsidR="002B440B">
        <w:rPr>
          <w:color w:val="auto"/>
        </w:rPr>
        <w:t>6</w:t>
      </w:r>
      <w:r w:rsidR="00AA24DE" w:rsidRPr="00080D7B">
        <w:rPr>
          <w:color w:val="auto"/>
        </w:rPr>
        <w:t>年</w:t>
      </w:r>
      <w:r w:rsidR="00AA24DE" w:rsidRPr="00080D7B">
        <w:rPr>
          <w:color w:val="auto"/>
        </w:rPr>
        <w:t>2</w:t>
      </w:r>
      <w:r w:rsidR="00AA24DE" w:rsidRPr="00080D7B">
        <w:rPr>
          <w:color w:val="auto"/>
        </w:rPr>
        <w:t>月</w:t>
      </w:r>
      <w:r w:rsidR="00AA24DE" w:rsidRPr="00080D7B">
        <w:rPr>
          <w:color w:val="auto"/>
        </w:rPr>
        <w:t>1</w:t>
      </w:r>
      <w:r w:rsidR="003A52B1" w:rsidRPr="00080D7B">
        <w:rPr>
          <w:color w:val="auto"/>
        </w:rPr>
        <w:t>日時点で登録されている者）</w:t>
      </w:r>
    </w:p>
    <w:p w:rsidR="00D14DEE" w:rsidRPr="00080D7B" w:rsidRDefault="00493B7D" w:rsidP="00D14DEE">
      <w:pPr>
        <w:tabs>
          <w:tab w:val="left" w:pos="3752"/>
        </w:tabs>
        <w:spacing w:line="252" w:lineRule="exact"/>
        <w:ind w:leftChars="140" w:left="282"/>
        <w:rPr>
          <w:rFonts w:hint="default"/>
          <w:color w:val="auto"/>
        </w:rPr>
      </w:pPr>
      <w:r w:rsidRPr="00080D7B">
        <w:rPr>
          <w:color w:val="auto"/>
        </w:rPr>
        <w:t xml:space="preserve">　</w:t>
      </w:r>
      <w:r w:rsidR="00D14DEE" w:rsidRPr="00080D7B">
        <w:rPr>
          <w:color w:val="auto"/>
        </w:rPr>
        <w:t>ISO</w:t>
      </w:r>
      <w:r w:rsidR="000455E6" w:rsidRPr="00080D7B">
        <w:rPr>
          <w:color w:val="auto"/>
        </w:rPr>
        <w:t>９００１の認証取得</w:t>
      </w:r>
      <w:r w:rsidR="00D14DEE" w:rsidRPr="00080D7B">
        <w:rPr>
          <w:color w:val="auto"/>
        </w:rPr>
        <w:t xml:space="preserve">　　　　　</w:t>
      </w:r>
      <w:r w:rsidR="00D14DEE" w:rsidRPr="00080D7B">
        <w:rPr>
          <w:color w:val="auto"/>
        </w:rPr>
        <w:t xml:space="preserve"> </w:t>
      </w:r>
      <w:r w:rsidR="00DA390A">
        <w:rPr>
          <w:color w:val="auto"/>
        </w:rPr>
        <w:t>＋１３</w:t>
      </w:r>
      <w:r w:rsidR="000455E6" w:rsidRPr="00080D7B">
        <w:rPr>
          <w:color w:val="auto"/>
        </w:rPr>
        <w:t>点</w:t>
      </w:r>
    </w:p>
    <w:p w:rsidR="00D14DEE" w:rsidRPr="00080D7B" w:rsidRDefault="00493B7D" w:rsidP="00D14DEE">
      <w:pPr>
        <w:tabs>
          <w:tab w:val="left" w:pos="3752"/>
        </w:tabs>
        <w:spacing w:line="252" w:lineRule="exact"/>
        <w:ind w:leftChars="140" w:left="282"/>
        <w:rPr>
          <w:rFonts w:hint="default"/>
          <w:color w:val="auto"/>
        </w:rPr>
      </w:pPr>
      <w:r w:rsidRPr="00080D7B">
        <w:rPr>
          <w:color w:val="auto"/>
        </w:rPr>
        <w:t xml:space="preserve">　</w:t>
      </w:r>
      <w:r w:rsidR="000455E6" w:rsidRPr="00080D7B">
        <w:rPr>
          <w:color w:val="auto"/>
        </w:rPr>
        <w:t>ISO</w:t>
      </w:r>
      <w:r w:rsidR="000455E6" w:rsidRPr="00080D7B">
        <w:rPr>
          <w:color w:val="auto"/>
        </w:rPr>
        <w:t>１４００１の認証取得</w:t>
      </w:r>
      <w:r w:rsidR="00D14DEE" w:rsidRPr="00080D7B">
        <w:rPr>
          <w:color w:val="auto"/>
        </w:rPr>
        <w:t xml:space="preserve">　　</w:t>
      </w:r>
      <w:r w:rsidR="00D14DEE" w:rsidRPr="00080D7B">
        <w:rPr>
          <w:color w:val="auto"/>
        </w:rPr>
        <w:t xml:space="preserve"> </w:t>
      </w:r>
      <w:r w:rsidR="00D14DEE" w:rsidRPr="00080D7B">
        <w:rPr>
          <w:color w:val="auto"/>
        </w:rPr>
        <w:t xml:space="preserve">　　</w:t>
      </w:r>
      <w:r w:rsidR="00DA390A">
        <w:rPr>
          <w:color w:val="auto"/>
        </w:rPr>
        <w:t>＋１３</w:t>
      </w:r>
      <w:r w:rsidR="000455E6" w:rsidRPr="00080D7B">
        <w:rPr>
          <w:color w:val="auto"/>
        </w:rPr>
        <w:t>点</w:t>
      </w:r>
    </w:p>
    <w:p w:rsidR="00D14DEE" w:rsidRPr="00080D7B" w:rsidRDefault="00493B7D" w:rsidP="00D14DEE">
      <w:pPr>
        <w:tabs>
          <w:tab w:val="left" w:pos="3752"/>
        </w:tabs>
        <w:spacing w:line="252" w:lineRule="exact"/>
        <w:ind w:leftChars="140" w:left="282"/>
        <w:rPr>
          <w:rFonts w:hint="default"/>
          <w:color w:val="auto"/>
        </w:rPr>
      </w:pPr>
      <w:r w:rsidRPr="00080D7B">
        <w:rPr>
          <w:color w:val="auto"/>
        </w:rPr>
        <w:t xml:space="preserve">　</w:t>
      </w:r>
      <w:r w:rsidR="001E37D6" w:rsidRPr="00080D7B">
        <w:rPr>
          <w:color w:val="auto"/>
        </w:rPr>
        <w:t>エコアクション２１の認証取得</w:t>
      </w:r>
      <w:r w:rsidR="00D14DEE" w:rsidRPr="00080D7B">
        <w:rPr>
          <w:rFonts w:hint="default"/>
          <w:color w:val="auto"/>
        </w:rPr>
        <w:tab/>
      </w:r>
      <w:r w:rsidR="000455E6" w:rsidRPr="00080D7B">
        <w:rPr>
          <w:color w:val="auto"/>
        </w:rPr>
        <w:t>＋５点</w:t>
      </w:r>
    </w:p>
    <w:p w:rsidR="00634B50" w:rsidRPr="00080D7B" w:rsidRDefault="00493B7D" w:rsidP="00D14DEE">
      <w:pPr>
        <w:tabs>
          <w:tab w:val="left" w:pos="3752"/>
        </w:tabs>
        <w:spacing w:line="252" w:lineRule="exact"/>
        <w:ind w:leftChars="140" w:left="282"/>
        <w:rPr>
          <w:rFonts w:hint="default"/>
          <w:color w:val="auto"/>
        </w:rPr>
      </w:pPr>
      <w:r w:rsidRPr="00080D7B">
        <w:rPr>
          <w:color w:val="auto"/>
        </w:rPr>
        <w:t xml:space="preserve">　</w:t>
      </w:r>
      <w:r w:rsidR="000455E6" w:rsidRPr="00080D7B">
        <w:rPr>
          <w:color w:val="auto"/>
        </w:rPr>
        <w:t>※</w:t>
      </w:r>
      <w:r w:rsidR="000455E6" w:rsidRPr="00080D7B">
        <w:rPr>
          <w:color w:val="auto"/>
        </w:rPr>
        <w:t xml:space="preserve"> ISO</w:t>
      </w:r>
      <w:r w:rsidR="000455E6" w:rsidRPr="00080D7B">
        <w:rPr>
          <w:color w:val="auto"/>
        </w:rPr>
        <w:t>１４００１とエコアクション２１の重複加算は不可。</w:t>
      </w:r>
    </w:p>
    <w:p w:rsidR="00634B50" w:rsidRDefault="00634B50">
      <w:pPr>
        <w:spacing w:line="252" w:lineRule="exact"/>
        <w:rPr>
          <w:rFonts w:hint="default"/>
        </w:rPr>
      </w:pPr>
    </w:p>
    <w:p w:rsidR="00D14DEE" w:rsidRDefault="00C13184">
      <w:pPr>
        <w:spacing w:line="252" w:lineRule="exact"/>
        <w:rPr>
          <w:rFonts w:hint="default"/>
        </w:rPr>
      </w:pPr>
      <w:r>
        <w:t>（７</w:t>
      </w:r>
      <w:r w:rsidR="00B64FC9">
        <w:t>）建設業法違反等（</w:t>
      </w:r>
      <w:r w:rsidR="009A264B">
        <w:t>対象期</w:t>
      </w:r>
      <w:r w:rsidR="00B64FC9">
        <w:t>間：</w:t>
      </w:r>
      <w:r w:rsidR="00BA7112" w:rsidRPr="00BA7112">
        <w:t>令和</w:t>
      </w:r>
      <w:r w:rsidR="000341DC">
        <w:t>３</w:t>
      </w:r>
      <w:r w:rsidR="00BA7112" w:rsidRPr="00BA7112">
        <w:t>・</w:t>
      </w:r>
      <w:r w:rsidR="000341DC">
        <w:t>４</w:t>
      </w:r>
      <w:r w:rsidR="00BA7112" w:rsidRPr="00BA7112">
        <w:t>年度</w:t>
      </w:r>
      <w:r w:rsidR="000455E6">
        <w:t>）</w:t>
      </w:r>
    </w:p>
    <w:p w:rsidR="00D14DEE" w:rsidRDefault="00493B7D" w:rsidP="00D14DEE">
      <w:pPr>
        <w:spacing w:line="252" w:lineRule="exact"/>
        <w:ind w:leftChars="140" w:left="282"/>
        <w:rPr>
          <w:rFonts w:hint="default"/>
        </w:rPr>
      </w:pPr>
      <w:r>
        <w:t xml:space="preserve">　</w:t>
      </w:r>
      <w:r w:rsidR="009C6C6C">
        <w:t>ア</w:t>
      </w:r>
      <w:r w:rsidR="00DF534F">
        <w:t xml:space="preserve">　</w:t>
      </w:r>
      <w:r w:rsidR="000455E6">
        <w:t>指名停止措置</w:t>
      </w:r>
    </w:p>
    <w:p w:rsidR="00D14DEE" w:rsidRDefault="00493B7D" w:rsidP="00D14DEE">
      <w:pPr>
        <w:spacing w:line="252" w:lineRule="exact"/>
        <w:ind w:leftChars="140" w:left="282"/>
        <w:rPr>
          <w:rFonts w:hint="default"/>
        </w:rPr>
      </w:pPr>
      <w:r>
        <w:t xml:space="preserve">　</w:t>
      </w:r>
      <w:r w:rsidR="00D14DEE">
        <w:t xml:space="preserve">　　</w:t>
      </w:r>
      <w:r w:rsidR="000455E6">
        <w:t>１か月未満</w:t>
      </w:r>
      <w:r w:rsidR="000455E6">
        <w:t xml:space="preserve">                </w:t>
      </w:r>
      <w:r w:rsidR="000455E6">
        <w:t xml:space="preserve">　　</w:t>
      </w:r>
      <w:r w:rsidR="007462B8">
        <w:t xml:space="preserve">　　</w:t>
      </w:r>
      <w:r w:rsidR="000455E6">
        <w:t>回数×（－２０点）</w:t>
      </w:r>
    </w:p>
    <w:p w:rsidR="00D14DEE" w:rsidRDefault="00D14DEE" w:rsidP="00D14DEE">
      <w:pPr>
        <w:spacing w:line="252" w:lineRule="exact"/>
        <w:ind w:leftChars="140" w:left="282"/>
        <w:rPr>
          <w:rFonts w:hint="default"/>
        </w:rPr>
      </w:pPr>
      <w:r>
        <w:t xml:space="preserve">　</w:t>
      </w:r>
      <w:r w:rsidR="00493B7D">
        <w:t xml:space="preserve">　</w:t>
      </w:r>
      <w:r>
        <w:t xml:space="preserve">　</w:t>
      </w:r>
      <w:r w:rsidR="000455E6">
        <w:t>１か月以上６か月未満</w:t>
      </w:r>
      <w:r w:rsidR="009A264B">
        <w:t xml:space="preserve">  </w:t>
      </w:r>
      <w:r w:rsidR="009A264B">
        <w:t xml:space="preserve">　</w:t>
      </w:r>
      <w:r w:rsidR="000455E6">
        <w:t xml:space="preserve">  </w:t>
      </w:r>
      <w:r w:rsidR="000455E6">
        <w:t xml:space="preserve">　　</w:t>
      </w:r>
      <w:r w:rsidR="007462B8">
        <w:t xml:space="preserve">　　</w:t>
      </w:r>
      <w:r w:rsidR="000455E6">
        <w:t>回数×（－３０点）</w:t>
      </w:r>
    </w:p>
    <w:p w:rsidR="007462B8" w:rsidRDefault="00D14DEE" w:rsidP="00D14DEE">
      <w:pPr>
        <w:spacing w:line="252" w:lineRule="exact"/>
        <w:ind w:leftChars="140" w:left="282"/>
        <w:rPr>
          <w:rFonts w:hint="default"/>
        </w:rPr>
      </w:pPr>
      <w:r>
        <w:t xml:space="preserve">　　</w:t>
      </w:r>
      <w:r w:rsidR="00493B7D">
        <w:t xml:space="preserve">　</w:t>
      </w:r>
      <w:r w:rsidR="000455E6">
        <w:t>６か月以上</w:t>
      </w:r>
      <w:r w:rsidR="000455E6">
        <w:t xml:space="preserve">                </w:t>
      </w:r>
      <w:r w:rsidR="000455E6">
        <w:t xml:space="preserve">　　</w:t>
      </w:r>
      <w:r w:rsidR="007462B8">
        <w:t xml:space="preserve">　　</w:t>
      </w:r>
      <w:r w:rsidR="000455E6">
        <w:t>回数×（－４０点）</w:t>
      </w:r>
    </w:p>
    <w:p w:rsidR="00D14DEE" w:rsidRDefault="00493B7D" w:rsidP="00D14DEE">
      <w:pPr>
        <w:spacing w:line="252" w:lineRule="exact"/>
        <w:ind w:leftChars="140" w:left="282"/>
        <w:rPr>
          <w:rFonts w:hint="default"/>
        </w:rPr>
      </w:pPr>
      <w:r>
        <w:t xml:space="preserve">　</w:t>
      </w:r>
      <w:r w:rsidR="009C6C6C">
        <w:t>イ</w:t>
      </w:r>
      <w:r w:rsidR="000455E6">
        <w:t xml:space="preserve">　監督処分</w:t>
      </w:r>
    </w:p>
    <w:p w:rsidR="00D14DEE" w:rsidRDefault="00D14DEE" w:rsidP="00D14DEE">
      <w:pPr>
        <w:spacing w:line="252" w:lineRule="exact"/>
        <w:ind w:leftChars="140" w:left="282"/>
        <w:rPr>
          <w:rFonts w:hint="default"/>
        </w:rPr>
      </w:pPr>
      <w:r>
        <w:t xml:space="preserve">　</w:t>
      </w:r>
      <w:r w:rsidR="00493B7D">
        <w:t xml:space="preserve">　</w:t>
      </w:r>
      <w:r>
        <w:t xml:space="preserve">　</w:t>
      </w:r>
      <w:r w:rsidR="007462B8">
        <w:t xml:space="preserve">指示処分　　　　　　　　　　　　　</w:t>
      </w:r>
      <w:r w:rsidR="000455E6">
        <w:t>回数×（－２０点）</w:t>
      </w:r>
    </w:p>
    <w:p w:rsidR="00D14DEE" w:rsidRDefault="00D14DEE" w:rsidP="00D14DEE">
      <w:pPr>
        <w:spacing w:line="252" w:lineRule="exact"/>
        <w:ind w:leftChars="140" w:left="282"/>
        <w:rPr>
          <w:rFonts w:hint="default"/>
        </w:rPr>
      </w:pPr>
      <w:r>
        <w:t xml:space="preserve">　　</w:t>
      </w:r>
      <w:r w:rsidR="00493B7D">
        <w:t xml:space="preserve">　</w:t>
      </w:r>
      <w:r w:rsidR="000455E6">
        <w:t>営業停止</w:t>
      </w:r>
    </w:p>
    <w:p w:rsidR="00D14DEE" w:rsidRDefault="00D14DEE" w:rsidP="00D14DEE">
      <w:pPr>
        <w:spacing w:line="252" w:lineRule="exact"/>
        <w:ind w:leftChars="140" w:left="282"/>
        <w:rPr>
          <w:rFonts w:hint="default"/>
        </w:rPr>
      </w:pPr>
      <w:r>
        <w:t xml:space="preserve">　　</w:t>
      </w:r>
      <w:r w:rsidR="00493B7D">
        <w:t xml:space="preserve">　</w:t>
      </w:r>
      <w:r w:rsidR="000455E6">
        <w:t>１か月未満</w:t>
      </w:r>
      <w:r w:rsidR="007462B8">
        <w:t xml:space="preserve">　　　　　　　　　　　　</w:t>
      </w:r>
      <w:r w:rsidR="000455E6">
        <w:t>回数×（－３０点）</w:t>
      </w:r>
    </w:p>
    <w:p w:rsidR="00D14DEE" w:rsidRDefault="00D14DEE" w:rsidP="00D14DEE">
      <w:pPr>
        <w:spacing w:line="252" w:lineRule="exact"/>
        <w:ind w:leftChars="140" w:left="282"/>
        <w:rPr>
          <w:rFonts w:hint="default"/>
        </w:rPr>
      </w:pPr>
      <w:r>
        <w:t xml:space="preserve">　　</w:t>
      </w:r>
      <w:r w:rsidR="00493B7D">
        <w:t xml:space="preserve">　</w:t>
      </w:r>
      <w:r w:rsidR="000455E6">
        <w:t>１か月以上６か月未満</w:t>
      </w:r>
      <w:r w:rsidR="007462B8">
        <w:t xml:space="preserve">　　　　　　　</w:t>
      </w:r>
      <w:r w:rsidR="000455E6">
        <w:t>回数×（－４０点）</w:t>
      </w:r>
    </w:p>
    <w:p w:rsidR="00D14DEE" w:rsidRDefault="00D14DEE" w:rsidP="00D14DEE">
      <w:pPr>
        <w:spacing w:line="252" w:lineRule="exact"/>
        <w:ind w:leftChars="140" w:left="282"/>
        <w:rPr>
          <w:rFonts w:hint="default"/>
        </w:rPr>
      </w:pPr>
      <w:r>
        <w:t xml:space="preserve">　　</w:t>
      </w:r>
      <w:r w:rsidR="00493B7D">
        <w:t xml:space="preserve">　</w:t>
      </w:r>
      <w:r w:rsidR="000455E6">
        <w:t>６か月以上</w:t>
      </w:r>
      <w:r w:rsidR="007462B8">
        <w:t xml:space="preserve">　　　　　　　　　　　　</w:t>
      </w:r>
      <w:r w:rsidR="000455E6">
        <w:t>回数×（－５０点）</w:t>
      </w:r>
    </w:p>
    <w:p w:rsidR="007462B8" w:rsidRDefault="00D14DEE" w:rsidP="00D14DEE">
      <w:pPr>
        <w:spacing w:line="252" w:lineRule="exact"/>
        <w:ind w:leftChars="140" w:left="282"/>
        <w:rPr>
          <w:rFonts w:hint="default"/>
        </w:rPr>
      </w:pPr>
      <w:r>
        <w:t xml:space="preserve">　　</w:t>
      </w:r>
      <w:r w:rsidR="00493B7D">
        <w:t xml:space="preserve">　</w:t>
      </w:r>
      <w:r w:rsidR="000455E6">
        <w:t>許可の取消処分（一部業種に係る）</w:t>
      </w:r>
      <w:r w:rsidR="007462B8">
        <w:t xml:space="preserve">　</w:t>
      </w:r>
      <w:r w:rsidR="000455E6">
        <w:t>回数×（－６０点）</w:t>
      </w:r>
    </w:p>
    <w:p w:rsidR="007462B8" w:rsidRDefault="00D14DEE" w:rsidP="007462B8">
      <w:pPr>
        <w:spacing w:line="252" w:lineRule="exact"/>
        <w:ind w:leftChars="139" w:left="705" w:hangingChars="211" w:hanging="425"/>
        <w:rPr>
          <w:rFonts w:hint="default"/>
        </w:rPr>
      </w:pPr>
      <w:r>
        <w:t xml:space="preserve">　</w:t>
      </w:r>
      <w:r w:rsidR="00493B7D">
        <w:t xml:space="preserve">　</w:t>
      </w:r>
      <w:r>
        <w:t xml:space="preserve">　</w:t>
      </w:r>
      <w:r w:rsidR="000455E6">
        <w:t>但し、同一事案で指名停止及</w:t>
      </w:r>
      <w:r w:rsidR="00E61D72">
        <w:t>び監督処分が併せて行われた場合は、大きい方の点数により</w:t>
      </w:r>
      <w:r w:rsidR="000455E6">
        <w:t>減点</w:t>
      </w:r>
    </w:p>
    <w:p w:rsidR="00634B50" w:rsidRDefault="00493B7D" w:rsidP="007462B8">
      <w:pPr>
        <w:spacing w:line="252" w:lineRule="exact"/>
        <w:ind w:leftChars="139" w:left="705" w:hangingChars="211" w:hanging="425"/>
        <w:rPr>
          <w:rFonts w:hint="default"/>
        </w:rPr>
      </w:pPr>
      <w:r>
        <w:t xml:space="preserve">　　　す</w:t>
      </w:r>
      <w:r w:rsidR="000455E6">
        <w:t>る。また、処分期間が年度をまたがる場合は、処分の発生年度を評価対象とする。</w:t>
      </w:r>
    </w:p>
    <w:p w:rsidR="00634B50" w:rsidRDefault="00634B50">
      <w:pPr>
        <w:spacing w:line="252" w:lineRule="exact"/>
        <w:rPr>
          <w:rFonts w:hint="default"/>
        </w:rPr>
      </w:pPr>
    </w:p>
    <w:p w:rsidR="007462B8" w:rsidRDefault="00AA24DE">
      <w:pPr>
        <w:spacing w:line="252" w:lineRule="exact"/>
        <w:rPr>
          <w:rFonts w:hint="default"/>
        </w:rPr>
      </w:pPr>
      <w:r>
        <w:t>（８</w:t>
      </w:r>
      <w:r w:rsidR="000455E6">
        <w:t>）社会貢献度</w:t>
      </w:r>
    </w:p>
    <w:p w:rsidR="007462B8" w:rsidRDefault="000455E6" w:rsidP="00595A7C">
      <w:pPr>
        <w:spacing w:line="252" w:lineRule="exact"/>
        <w:ind w:leftChars="140" w:left="282" w:firstLineChars="200" w:firstLine="403"/>
        <w:rPr>
          <w:rFonts w:hint="default"/>
        </w:rPr>
      </w:pPr>
      <w:r>
        <w:t>下表の評価項目について、いずれかの建設団体に加入しているとき、加算対象工種の欄に掲げる</w:t>
      </w:r>
    </w:p>
    <w:p w:rsidR="00634B50" w:rsidRDefault="00493B7D" w:rsidP="007462B8">
      <w:pPr>
        <w:spacing w:line="252" w:lineRule="exact"/>
        <w:ind w:leftChars="140" w:left="282"/>
        <w:rPr>
          <w:rFonts w:hint="default"/>
        </w:rPr>
      </w:pPr>
      <w:r>
        <w:t xml:space="preserve">　</w:t>
      </w:r>
      <w:r w:rsidR="00E61D72">
        <w:t>業</w:t>
      </w:r>
      <w:r w:rsidR="000455E6">
        <w:t>種に対して活動年数に応じて加点するものとする。</w:t>
      </w:r>
    </w:p>
    <w:p w:rsidR="007462B8" w:rsidRDefault="007462B8" w:rsidP="007462B8">
      <w:pPr>
        <w:spacing w:line="252" w:lineRule="exact"/>
        <w:ind w:leftChars="140" w:left="282"/>
        <w:rPr>
          <w:rFonts w:hint="default"/>
        </w:rPr>
      </w:pPr>
    </w:p>
    <w:tbl>
      <w:tblPr>
        <w:tblW w:w="0" w:type="auto"/>
        <w:tblInd w:w="191" w:type="dxa"/>
        <w:tblLayout w:type="fixed"/>
        <w:tblCellMar>
          <w:left w:w="0" w:type="dxa"/>
          <w:right w:w="0" w:type="dxa"/>
        </w:tblCellMar>
        <w:tblLook w:val="0000" w:firstRow="0" w:lastRow="0" w:firstColumn="0" w:lastColumn="0" w:noHBand="0" w:noVBand="0"/>
      </w:tblPr>
      <w:tblGrid>
        <w:gridCol w:w="2058"/>
        <w:gridCol w:w="2296"/>
        <w:gridCol w:w="1997"/>
        <w:gridCol w:w="2596"/>
      </w:tblGrid>
      <w:tr w:rsidR="00634B50" w:rsidTr="007462B8">
        <w:trPr>
          <w:trHeight w:val="555"/>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983BEB" w:rsidRDefault="00634B50">
            <w:pPr>
              <w:rPr>
                <w:rFonts w:asciiTheme="minorEastAsia" w:eastAsiaTheme="minorEastAsia" w:hAnsiTheme="minorEastAsia" w:hint="default"/>
                <w:sz w:val="16"/>
                <w:szCs w:val="16"/>
              </w:rPr>
            </w:pPr>
          </w:p>
          <w:p w:rsidR="00634B50" w:rsidRPr="00983BEB" w:rsidRDefault="000455E6">
            <w:pPr>
              <w:spacing w:line="252" w:lineRule="exact"/>
              <w:jc w:val="center"/>
              <w:rPr>
                <w:rFonts w:asciiTheme="minorEastAsia" w:eastAsiaTheme="minorEastAsia" w:hAnsiTheme="minorEastAsia" w:hint="default"/>
                <w:sz w:val="16"/>
                <w:szCs w:val="16"/>
              </w:rPr>
            </w:pPr>
            <w:r w:rsidRPr="00983BEB">
              <w:rPr>
                <w:rFonts w:asciiTheme="minorEastAsia" w:eastAsiaTheme="minorEastAsia" w:hAnsiTheme="minorEastAsia"/>
                <w:sz w:val="16"/>
                <w:szCs w:val="16"/>
              </w:rPr>
              <w:t>評価項目</w:t>
            </w: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983BEB" w:rsidRDefault="00634B50">
            <w:pPr>
              <w:rPr>
                <w:rFonts w:asciiTheme="minorEastAsia" w:eastAsiaTheme="minorEastAsia" w:hAnsiTheme="minorEastAsia" w:hint="default"/>
                <w:sz w:val="16"/>
                <w:szCs w:val="16"/>
              </w:rPr>
            </w:pPr>
          </w:p>
          <w:p w:rsidR="00634B50" w:rsidRPr="00983BEB" w:rsidRDefault="000455E6">
            <w:pPr>
              <w:spacing w:line="252" w:lineRule="exact"/>
              <w:jc w:val="center"/>
              <w:rPr>
                <w:rFonts w:asciiTheme="minorEastAsia" w:eastAsiaTheme="minorEastAsia" w:hAnsiTheme="minorEastAsia" w:hint="default"/>
                <w:sz w:val="16"/>
                <w:szCs w:val="16"/>
              </w:rPr>
            </w:pPr>
            <w:r w:rsidRPr="00983BEB">
              <w:rPr>
                <w:rFonts w:asciiTheme="minorEastAsia" w:eastAsiaTheme="minorEastAsia" w:hAnsiTheme="minorEastAsia"/>
                <w:sz w:val="16"/>
                <w:szCs w:val="16"/>
              </w:rPr>
              <w:t>加入団体</w:t>
            </w:r>
          </w:p>
        </w:tc>
        <w:tc>
          <w:tcPr>
            <w:tcW w:w="19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983BEB" w:rsidRDefault="00634B50">
            <w:pPr>
              <w:rPr>
                <w:rFonts w:asciiTheme="minorEastAsia" w:eastAsiaTheme="minorEastAsia" w:hAnsiTheme="minorEastAsia" w:hint="default"/>
                <w:sz w:val="16"/>
                <w:szCs w:val="16"/>
              </w:rPr>
            </w:pPr>
          </w:p>
          <w:p w:rsidR="00634B50" w:rsidRPr="00983BEB" w:rsidRDefault="000455E6">
            <w:pPr>
              <w:spacing w:line="252" w:lineRule="exact"/>
              <w:jc w:val="center"/>
              <w:rPr>
                <w:rFonts w:asciiTheme="minorEastAsia" w:eastAsiaTheme="minorEastAsia" w:hAnsiTheme="minorEastAsia" w:hint="default"/>
                <w:sz w:val="16"/>
                <w:szCs w:val="16"/>
              </w:rPr>
            </w:pPr>
            <w:r w:rsidRPr="00983BEB">
              <w:rPr>
                <w:rFonts w:asciiTheme="minorEastAsia" w:eastAsiaTheme="minorEastAsia" w:hAnsiTheme="minorEastAsia"/>
                <w:sz w:val="16"/>
                <w:szCs w:val="16"/>
              </w:rPr>
              <w:t>加算対象工種</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4B50" w:rsidRPr="00983BEB" w:rsidRDefault="00634B50">
            <w:pPr>
              <w:rPr>
                <w:rFonts w:asciiTheme="minorEastAsia" w:eastAsiaTheme="minorEastAsia" w:hAnsiTheme="minorEastAsia" w:hint="default"/>
                <w:sz w:val="16"/>
                <w:szCs w:val="16"/>
              </w:rPr>
            </w:pPr>
          </w:p>
          <w:p w:rsidR="00634B50" w:rsidRPr="00983BEB" w:rsidRDefault="000455E6">
            <w:pPr>
              <w:spacing w:line="252" w:lineRule="exact"/>
              <w:jc w:val="center"/>
              <w:rPr>
                <w:rFonts w:asciiTheme="minorEastAsia" w:eastAsiaTheme="minorEastAsia" w:hAnsiTheme="minorEastAsia" w:hint="default"/>
                <w:sz w:val="16"/>
                <w:szCs w:val="16"/>
              </w:rPr>
            </w:pPr>
            <w:r w:rsidRPr="00983BEB">
              <w:rPr>
                <w:rFonts w:asciiTheme="minorEastAsia" w:eastAsiaTheme="minorEastAsia" w:hAnsiTheme="minorEastAsia"/>
                <w:sz w:val="16"/>
                <w:szCs w:val="16"/>
              </w:rPr>
              <w:t>点数（活動年数）</w:t>
            </w:r>
          </w:p>
        </w:tc>
      </w:tr>
      <w:tr w:rsidR="00634B50" w:rsidTr="007462B8">
        <w:trPr>
          <w:trHeight w:val="640"/>
        </w:trPr>
        <w:tc>
          <w:tcPr>
            <w:tcW w:w="2058" w:type="dxa"/>
            <w:vMerge w:val="restart"/>
            <w:tcBorders>
              <w:top w:val="single" w:sz="4" w:space="0" w:color="000000"/>
              <w:left w:val="single" w:sz="4" w:space="0" w:color="000000"/>
              <w:bottom w:val="nil"/>
              <w:right w:val="single" w:sz="4" w:space="0" w:color="000000"/>
            </w:tcBorders>
            <w:tcMar>
              <w:left w:w="49" w:type="dxa"/>
              <w:right w:w="49" w:type="dxa"/>
            </w:tcMar>
          </w:tcPr>
          <w:p w:rsidR="000455E6" w:rsidRDefault="000455E6" w:rsidP="000455E6">
            <w:pPr>
              <w:spacing w:line="0" w:lineRule="atLeast"/>
              <w:rPr>
                <w:rFonts w:asciiTheme="minorEastAsia" w:eastAsiaTheme="minorEastAsia" w:hAnsiTheme="minorEastAsia" w:hint="default"/>
                <w:position w:val="10"/>
                <w:sz w:val="16"/>
                <w:szCs w:val="16"/>
              </w:rPr>
            </w:pPr>
          </w:p>
          <w:p w:rsidR="00983BEB" w:rsidRDefault="00680708" w:rsidP="000455E6">
            <w:pPr>
              <w:spacing w:line="0" w:lineRule="atLeast"/>
              <w:rPr>
                <w:rFonts w:asciiTheme="minorEastAsia" w:eastAsiaTheme="minorEastAsia" w:hAnsiTheme="minorEastAsia" w:hint="default"/>
                <w:position w:val="10"/>
                <w:sz w:val="16"/>
                <w:szCs w:val="16"/>
              </w:rPr>
            </w:pPr>
            <w:r>
              <w:rPr>
                <w:rFonts w:asciiTheme="minorEastAsia" w:eastAsiaTheme="minorEastAsia" w:hAnsiTheme="minorEastAsia"/>
                <w:position w:val="10"/>
                <w:sz w:val="16"/>
                <w:szCs w:val="16"/>
              </w:rPr>
              <w:t xml:space="preserve"> １ </w:t>
            </w:r>
            <w:r w:rsidR="00983BEB">
              <w:rPr>
                <w:rFonts w:asciiTheme="minorEastAsia" w:eastAsiaTheme="minorEastAsia" w:hAnsiTheme="minorEastAsia"/>
                <w:position w:val="10"/>
                <w:sz w:val="16"/>
                <w:szCs w:val="16"/>
              </w:rPr>
              <w:t>労働安全対策</w:t>
            </w:r>
          </w:p>
          <w:p w:rsidR="00983BEB" w:rsidRDefault="00983BEB" w:rsidP="000455E6">
            <w:pPr>
              <w:spacing w:beforeLines="50" w:before="126" w:line="0" w:lineRule="atLeast"/>
              <w:rPr>
                <w:rFonts w:asciiTheme="minorEastAsia" w:eastAsiaTheme="minorEastAsia" w:hAnsiTheme="minorEastAsia" w:hint="default"/>
                <w:position w:val="10"/>
                <w:sz w:val="16"/>
                <w:szCs w:val="16"/>
              </w:rPr>
            </w:pPr>
            <w:r>
              <w:rPr>
                <w:rFonts w:asciiTheme="minorEastAsia" w:eastAsiaTheme="minorEastAsia" w:hAnsiTheme="minorEastAsia"/>
                <w:position w:val="10"/>
                <w:sz w:val="16"/>
                <w:szCs w:val="16"/>
              </w:rPr>
              <w:t xml:space="preserve"> ２ 技術研修等参加状況</w:t>
            </w:r>
          </w:p>
          <w:p w:rsidR="00634B50" w:rsidRPr="00983BEB" w:rsidRDefault="00983BEB" w:rsidP="000455E6">
            <w:pPr>
              <w:spacing w:beforeLines="50" w:before="126" w:line="0" w:lineRule="atLeast"/>
              <w:rPr>
                <w:rFonts w:asciiTheme="minorEastAsia" w:eastAsiaTheme="minorEastAsia" w:hAnsiTheme="minorEastAsia" w:hint="default"/>
                <w:position w:val="10"/>
                <w:sz w:val="16"/>
                <w:szCs w:val="16"/>
              </w:rPr>
            </w:pPr>
            <w:r>
              <w:rPr>
                <w:rFonts w:asciiTheme="minorEastAsia" w:eastAsiaTheme="minorEastAsia" w:hAnsiTheme="minorEastAsia"/>
                <w:position w:val="10"/>
                <w:sz w:val="16"/>
                <w:szCs w:val="16"/>
              </w:rPr>
              <w:t xml:space="preserve"> ３ 地域貢献活動</w:t>
            </w: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B50" w:rsidRPr="00983BEB" w:rsidRDefault="000455E6" w:rsidP="00DF534F">
            <w:pPr>
              <w:rPr>
                <w:rFonts w:asciiTheme="minorEastAsia" w:eastAsiaTheme="minorEastAsia" w:hAnsiTheme="minorEastAsia" w:hint="default"/>
                <w:sz w:val="16"/>
                <w:szCs w:val="16"/>
              </w:rPr>
            </w:pPr>
            <w:r w:rsidRPr="00983BEB">
              <w:rPr>
                <w:rFonts w:asciiTheme="minorEastAsia" w:eastAsiaTheme="minorEastAsia" w:hAnsiTheme="minorEastAsia"/>
                <w:position w:val="13"/>
                <w:sz w:val="16"/>
                <w:szCs w:val="16"/>
              </w:rPr>
              <w:t>(社)沖縄県建設業協会</w:t>
            </w:r>
          </w:p>
        </w:tc>
        <w:tc>
          <w:tcPr>
            <w:tcW w:w="19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3BEB" w:rsidRPr="00983BEB" w:rsidRDefault="00983BEB" w:rsidP="00DF534F">
            <w:pPr>
              <w:rPr>
                <w:rFonts w:asciiTheme="minorEastAsia" w:eastAsiaTheme="minorEastAsia" w:hAnsiTheme="minorEastAsia" w:hint="default"/>
                <w:sz w:val="16"/>
                <w:szCs w:val="16"/>
              </w:rPr>
            </w:pPr>
            <w:r w:rsidRPr="00983BEB">
              <w:rPr>
                <w:rFonts w:asciiTheme="minorEastAsia" w:eastAsiaTheme="minorEastAsia" w:hAnsiTheme="minorEastAsia"/>
                <w:sz w:val="16"/>
                <w:szCs w:val="16"/>
              </w:rPr>
              <w:t xml:space="preserve"> </w:t>
            </w:r>
            <w:r w:rsidR="000455E6" w:rsidRPr="00983BEB">
              <w:rPr>
                <w:rFonts w:asciiTheme="minorEastAsia" w:eastAsiaTheme="minorEastAsia" w:hAnsiTheme="minorEastAsia"/>
                <w:position w:val="2"/>
                <w:sz w:val="16"/>
                <w:szCs w:val="16"/>
              </w:rPr>
              <w:t>土木一式工事</w:t>
            </w:r>
          </w:p>
          <w:p w:rsidR="00634B50" w:rsidRPr="00983BEB" w:rsidRDefault="00983BEB" w:rsidP="00DF534F">
            <w:pPr>
              <w:rPr>
                <w:rFonts w:asciiTheme="minorEastAsia" w:eastAsiaTheme="minorEastAsia" w:hAnsiTheme="minorEastAsia" w:hint="default"/>
                <w:sz w:val="16"/>
                <w:szCs w:val="16"/>
              </w:rPr>
            </w:pPr>
            <w:r w:rsidRPr="00983BEB">
              <w:rPr>
                <w:rFonts w:asciiTheme="minorEastAsia" w:eastAsiaTheme="minorEastAsia" w:hAnsiTheme="minorEastAsia"/>
                <w:sz w:val="16"/>
                <w:szCs w:val="16"/>
              </w:rPr>
              <w:t xml:space="preserve"> </w:t>
            </w:r>
            <w:r w:rsidR="000455E6" w:rsidRPr="00983BEB">
              <w:rPr>
                <w:rFonts w:asciiTheme="minorEastAsia" w:eastAsiaTheme="minorEastAsia" w:hAnsiTheme="minorEastAsia"/>
                <w:position w:val="-2"/>
                <w:sz w:val="16"/>
                <w:szCs w:val="16"/>
              </w:rPr>
              <w:t>建築一式工事</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534F" w:rsidRPr="00DF534F" w:rsidRDefault="00DF534F" w:rsidP="00DF534F">
            <w:pPr>
              <w:rPr>
                <w:rFonts w:asciiTheme="minorEastAsia" w:eastAsiaTheme="minorEastAsia" w:hAnsiTheme="minorEastAsia" w:hint="default"/>
                <w:sz w:val="16"/>
                <w:szCs w:val="16"/>
              </w:rPr>
            </w:pPr>
            <w:r>
              <w:rPr>
                <w:rFonts w:asciiTheme="minorEastAsia" w:eastAsiaTheme="minorEastAsia" w:hAnsiTheme="minorEastAsia"/>
                <w:sz w:val="16"/>
                <w:szCs w:val="16"/>
              </w:rPr>
              <w:t xml:space="preserve"> </w:t>
            </w:r>
            <w:r w:rsidRPr="00DF534F">
              <w:rPr>
                <w:rFonts w:asciiTheme="minorEastAsia" w:eastAsiaTheme="minorEastAsia" w:hAnsiTheme="minorEastAsia"/>
                <w:sz w:val="16"/>
                <w:szCs w:val="16"/>
              </w:rPr>
              <w:t>１</w:t>
            </w:r>
            <w:r w:rsidR="000455E6" w:rsidRPr="00DF534F">
              <w:rPr>
                <w:rFonts w:asciiTheme="minorEastAsia" w:eastAsiaTheme="minorEastAsia" w:hAnsiTheme="minorEastAsia"/>
                <w:sz w:val="16"/>
                <w:szCs w:val="16"/>
              </w:rPr>
              <w:t>年加入につき、1点付与する。</w:t>
            </w:r>
          </w:p>
          <w:p w:rsidR="00634B50" w:rsidRPr="00983BEB" w:rsidRDefault="00DF534F" w:rsidP="00DF534F">
            <w:pPr>
              <w:rPr>
                <w:rFonts w:asciiTheme="minorEastAsia" w:eastAsiaTheme="minorEastAsia" w:hAnsiTheme="minorEastAsia" w:hint="default"/>
                <w:sz w:val="16"/>
                <w:szCs w:val="16"/>
              </w:rPr>
            </w:pPr>
            <w:r w:rsidRPr="00DF534F">
              <w:rPr>
                <w:rFonts w:asciiTheme="minorEastAsia" w:eastAsiaTheme="minorEastAsia" w:hAnsiTheme="minorEastAsia"/>
                <w:sz w:val="16"/>
                <w:szCs w:val="16"/>
              </w:rPr>
              <w:t xml:space="preserve"> </w:t>
            </w:r>
            <w:r w:rsidR="000455E6" w:rsidRPr="00DF534F">
              <w:rPr>
                <w:rFonts w:asciiTheme="minorEastAsia" w:eastAsiaTheme="minorEastAsia" w:hAnsiTheme="minorEastAsia"/>
                <w:sz w:val="16"/>
                <w:szCs w:val="16"/>
              </w:rPr>
              <w:t>但し、上限は35点とする。</w:t>
            </w:r>
          </w:p>
        </w:tc>
      </w:tr>
      <w:tr w:rsidR="00634B50" w:rsidTr="007462B8">
        <w:trPr>
          <w:trHeight w:val="551"/>
        </w:trPr>
        <w:tc>
          <w:tcPr>
            <w:tcW w:w="2058" w:type="dxa"/>
            <w:vMerge/>
            <w:tcBorders>
              <w:top w:val="nil"/>
              <w:left w:val="single" w:sz="4" w:space="0" w:color="000000"/>
              <w:bottom w:val="nil"/>
              <w:right w:val="single" w:sz="4" w:space="0" w:color="000000"/>
            </w:tcBorders>
            <w:tcMar>
              <w:left w:w="49" w:type="dxa"/>
              <w:right w:w="49" w:type="dxa"/>
            </w:tcMar>
          </w:tcPr>
          <w:p w:rsidR="00634B50" w:rsidRPr="00983BEB" w:rsidRDefault="00634B50">
            <w:pPr>
              <w:rPr>
                <w:rFonts w:asciiTheme="minorEastAsia" w:eastAsiaTheme="minorEastAsia" w:hAnsiTheme="minorEastAsia" w:hint="default"/>
                <w:sz w:val="16"/>
                <w:szCs w:val="16"/>
              </w:rPr>
            </w:pPr>
          </w:p>
        </w:tc>
        <w:tc>
          <w:tcPr>
            <w:tcW w:w="2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83BEB" w:rsidRPr="00DF534F" w:rsidRDefault="000455E6" w:rsidP="00DF534F">
            <w:pPr>
              <w:rPr>
                <w:rFonts w:asciiTheme="minorEastAsia" w:eastAsiaTheme="minorEastAsia" w:hAnsiTheme="minorEastAsia" w:hint="default"/>
                <w:position w:val="-13"/>
                <w:sz w:val="16"/>
                <w:szCs w:val="16"/>
              </w:rPr>
            </w:pPr>
            <w:r w:rsidRPr="00983BEB">
              <w:rPr>
                <w:rFonts w:asciiTheme="minorEastAsia" w:eastAsiaTheme="minorEastAsia" w:hAnsiTheme="minorEastAsia"/>
                <w:position w:val="-13"/>
                <w:sz w:val="16"/>
                <w:szCs w:val="16"/>
              </w:rPr>
              <w:t>(社)沖縄県電気管工事業協会</w:t>
            </w:r>
          </w:p>
        </w:tc>
        <w:tc>
          <w:tcPr>
            <w:tcW w:w="199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34B50" w:rsidRPr="00983BEB" w:rsidRDefault="00983BEB" w:rsidP="00DF534F">
            <w:pPr>
              <w:rPr>
                <w:rFonts w:asciiTheme="minorEastAsia" w:eastAsiaTheme="minorEastAsia" w:hAnsiTheme="minorEastAsia" w:hint="default"/>
                <w:sz w:val="16"/>
                <w:szCs w:val="16"/>
              </w:rPr>
            </w:pPr>
            <w:r>
              <w:rPr>
                <w:rFonts w:asciiTheme="minorEastAsia" w:eastAsiaTheme="minorEastAsia" w:hAnsiTheme="minorEastAsia"/>
                <w:sz w:val="16"/>
                <w:szCs w:val="16"/>
              </w:rPr>
              <w:t xml:space="preserve"> </w:t>
            </w:r>
            <w:r w:rsidR="000455E6" w:rsidRPr="00983BEB">
              <w:rPr>
                <w:rFonts w:asciiTheme="minorEastAsia" w:eastAsiaTheme="minorEastAsia" w:hAnsiTheme="minorEastAsia"/>
                <w:position w:val="2"/>
                <w:sz w:val="16"/>
                <w:szCs w:val="16"/>
              </w:rPr>
              <w:t>電気工事</w:t>
            </w:r>
          </w:p>
          <w:p w:rsidR="00634B50" w:rsidRPr="00983BEB" w:rsidRDefault="00983BEB" w:rsidP="00DF534F">
            <w:pPr>
              <w:rPr>
                <w:rFonts w:asciiTheme="minorEastAsia" w:eastAsiaTheme="minorEastAsia" w:hAnsiTheme="minorEastAsia" w:hint="default"/>
                <w:sz w:val="16"/>
                <w:szCs w:val="16"/>
              </w:rPr>
            </w:pPr>
            <w:r>
              <w:rPr>
                <w:rFonts w:asciiTheme="minorEastAsia" w:eastAsiaTheme="minorEastAsia" w:hAnsiTheme="minorEastAsia"/>
                <w:sz w:val="16"/>
                <w:szCs w:val="16"/>
              </w:rPr>
              <w:t xml:space="preserve"> </w:t>
            </w:r>
            <w:r w:rsidR="000455E6" w:rsidRPr="00983BEB">
              <w:rPr>
                <w:rFonts w:asciiTheme="minorEastAsia" w:eastAsiaTheme="minorEastAsia" w:hAnsiTheme="minorEastAsia"/>
                <w:position w:val="-2"/>
                <w:sz w:val="16"/>
                <w:szCs w:val="16"/>
              </w:rPr>
              <w:t>管工事</w:t>
            </w:r>
          </w:p>
        </w:tc>
        <w:tc>
          <w:tcPr>
            <w:tcW w:w="2596" w:type="dxa"/>
            <w:vMerge w:val="restart"/>
            <w:tcBorders>
              <w:top w:val="single" w:sz="4" w:space="0" w:color="000000"/>
              <w:left w:val="single" w:sz="4" w:space="0" w:color="000000"/>
              <w:bottom w:val="nil"/>
              <w:right w:val="single" w:sz="4" w:space="0" w:color="000000"/>
            </w:tcBorders>
            <w:tcMar>
              <w:left w:w="49" w:type="dxa"/>
              <w:right w:w="49" w:type="dxa"/>
            </w:tcMar>
          </w:tcPr>
          <w:p w:rsidR="00634B50" w:rsidRDefault="00634B50" w:rsidP="00983BEB">
            <w:pPr>
              <w:rPr>
                <w:rFonts w:asciiTheme="minorEastAsia" w:eastAsiaTheme="minorEastAsia" w:hAnsiTheme="minorEastAsia" w:hint="default"/>
                <w:sz w:val="16"/>
                <w:szCs w:val="16"/>
              </w:rPr>
            </w:pPr>
          </w:p>
          <w:p w:rsidR="00634B50" w:rsidRPr="00983BEB" w:rsidRDefault="00983BEB" w:rsidP="00983BEB">
            <w:pPr>
              <w:jc w:val="left"/>
              <w:rPr>
                <w:rFonts w:asciiTheme="minorEastAsia" w:eastAsiaTheme="minorEastAsia" w:hAnsiTheme="minorEastAsia" w:hint="default"/>
                <w:sz w:val="16"/>
                <w:szCs w:val="16"/>
              </w:rPr>
            </w:pPr>
            <w:r>
              <w:rPr>
                <w:rFonts w:asciiTheme="minorEastAsia" w:eastAsiaTheme="minorEastAsia" w:hAnsiTheme="minorEastAsia"/>
                <w:sz w:val="16"/>
                <w:szCs w:val="16"/>
              </w:rPr>
              <w:t xml:space="preserve">　　　　　　</w:t>
            </w:r>
            <w:r w:rsidR="000455E6" w:rsidRPr="00983BEB">
              <w:rPr>
                <w:rFonts w:asciiTheme="minorEastAsia" w:eastAsiaTheme="minorEastAsia" w:hAnsiTheme="minorEastAsia"/>
                <w:position w:val="-13"/>
                <w:sz w:val="16"/>
                <w:szCs w:val="16"/>
              </w:rPr>
              <w:t>同　上</w:t>
            </w:r>
          </w:p>
        </w:tc>
      </w:tr>
      <w:tr w:rsidR="00634B50" w:rsidTr="007462B8">
        <w:trPr>
          <w:trHeight w:val="253"/>
        </w:trPr>
        <w:tc>
          <w:tcPr>
            <w:tcW w:w="2058" w:type="dxa"/>
            <w:vMerge/>
            <w:tcBorders>
              <w:top w:val="nil"/>
              <w:left w:val="single" w:sz="4" w:space="0" w:color="000000"/>
              <w:bottom w:val="single" w:sz="4" w:space="0" w:color="000000"/>
              <w:right w:val="single" w:sz="4" w:space="0" w:color="000000"/>
            </w:tcBorders>
            <w:tcMar>
              <w:left w:w="49" w:type="dxa"/>
              <w:right w:w="49" w:type="dxa"/>
            </w:tcMar>
          </w:tcPr>
          <w:p w:rsidR="00634B50" w:rsidRDefault="00634B50">
            <w:pPr>
              <w:rPr>
                <w:rFonts w:hint="default"/>
              </w:rPr>
            </w:pPr>
          </w:p>
        </w:tc>
        <w:tc>
          <w:tcPr>
            <w:tcW w:w="2296" w:type="dxa"/>
            <w:vMerge/>
            <w:tcBorders>
              <w:top w:val="nil"/>
              <w:left w:val="single" w:sz="4" w:space="0" w:color="000000"/>
              <w:bottom w:val="single" w:sz="4" w:space="0" w:color="000000"/>
              <w:right w:val="single" w:sz="4" w:space="0" w:color="000000"/>
            </w:tcBorders>
            <w:tcMar>
              <w:left w:w="49" w:type="dxa"/>
              <w:right w:w="49" w:type="dxa"/>
            </w:tcMar>
          </w:tcPr>
          <w:p w:rsidR="00634B50" w:rsidRDefault="00634B50">
            <w:pPr>
              <w:rPr>
                <w:rFonts w:hint="default"/>
              </w:rPr>
            </w:pPr>
          </w:p>
        </w:tc>
        <w:tc>
          <w:tcPr>
            <w:tcW w:w="1997" w:type="dxa"/>
            <w:vMerge/>
            <w:tcBorders>
              <w:top w:val="nil"/>
              <w:left w:val="single" w:sz="4" w:space="0" w:color="000000"/>
              <w:bottom w:val="single" w:sz="4" w:space="0" w:color="000000"/>
              <w:right w:val="single" w:sz="4" w:space="0" w:color="000000"/>
            </w:tcBorders>
            <w:tcMar>
              <w:left w:w="49" w:type="dxa"/>
              <w:right w:w="49" w:type="dxa"/>
            </w:tcMar>
          </w:tcPr>
          <w:p w:rsidR="00634B50" w:rsidRDefault="00634B50">
            <w:pPr>
              <w:rPr>
                <w:rFonts w:hint="default"/>
              </w:rPr>
            </w:pPr>
          </w:p>
        </w:tc>
        <w:tc>
          <w:tcPr>
            <w:tcW w:w="2596" w:type="dxa"/>
            <w:vMerge/>
            <w:tcBorders>
              <w:top w:val="nil"/>
              <w:left w:val="single" w:sz="4" w:space="0" w:color="000000"/>
              <w:bottom w:val="single" w:sz="4" w:space="0" w:color="000000"/>
              <w:right w:val="single" w:sz="4" w:space="0" w:color="000000"/>
            </w:tcBorders>
            <w:tcMar>
              <w:left w:w="49" w:type="dxa"/>
              <w:right w:w="49" w:type="dxa"/>
            </w:tcMar>
          </w:tcPr>
          <w:p w:rsidR="00634B50" w:rsidRDefault="00634B50">
            <w:pPr>
              <w:rPr>
                <w:rFonts w:hint="default"/>
              </w:rPr>
            </w:pPr>
          </w:p>
        </w:tc>
      </w:tr>
    </w:tbl>
    <w:p w:rsidR="007462B8" w:rsidRDefault="006114CF" w:rsidP="0019510B">
      <w:pPr>
        <w:spacing w:line="252" w:lineRule="exact"/>
        <w:ind w:leftChars="140" w:left="502" w:hangingChars="109" w:hanging="220"/>
        <w:rPr>
          <w:rFonts w:hint="default"/>
        </w:rPr>
      </w:pPr>
      <w:r>
        <w:t>※団体への加入は、令和</w:t>
      </w:r>
      <w:r w:rsidR="00A16C23">
        <w:t>6</w:t>
      </w:r>
      <w:r w:rsidR="00494B51">
        <w:t>年</w:t>
      </w:r>
      <w:r w:rsidR="00494B51">
        <w:t>2</w:t>
      </w:r>
      <w:r w:rsidR="00494B51">
        <w:t>月</w:t>
      </w:r>
      <w:r w:rsidR="00494B51">
        <w:t>1</w:t>
      </w:r>
      <w:r w:rsidR="000455E6">
        <w:t>日時点において在籍し、満１年以上加入していることを</w:t>
      </w:r>
      <w:r w:rsidR="00494B51">
        <w:t>条件</w:t>
      </w:r>
    </w:p>
    <w:p w:rsidR="007462B8" w:rsidRDefault="007462B8" w:rsidP="007462B8">
      <w:pPr>
        <w:spacing w:line="252" w:lineRule="exact"/>
        <w:ind w:leftChars="140" w:left="502" w:hangingChars="109" w:hanging="220"/>
        <w:rPr>
          <w:rFonts w:hint="default"/>
        </w:rPr>
      </w:pPr>
      <w:r>
        <w:rPr>
          <w:rFonts w:hint="default"/>
        </w:rPr>
        <w:tab/>
      </w:r>
      <w:r w:rsidR="000455E6">
        <w:t>とする。</w:t>
      </w:r>
    </w:p>
    <w:p w:rsidR="00634B50" w:rsidRDefault="000455E6" w:rsidP="007462B8">
      <w:pPr>
        <w:spacing w:line="252" w:lineRule="exact"/>
        <w:ind w:leftChars="140" w:left="502" w:hangingChars="109" w:hanging="220"/>
        <w:rPr>
          <w:rFonts w:hint="default"/>
        </w:rPr>
      </w:pPr>
      <w:r>
        <w:t>※過去において途中脱退があった場合には、その期間は団体活動年数の通算から除くものとする。</w:t>
      </w:r>
    </w:p>
    <w:p w:rsidR="00697DFA" w:rsidRDefault="00697DFA" w:rsidP="007462B8">
      <w:pPr>
        <w:spacing w:line="252" w:lineRule="exact"/>
        <w:ind w:leftChars="140" w:left="502" w:hangingChars="109" w:hanging="220"/>
        <w:rPr>
          <w:rFonts w:hint="default"/>
        </w:rPr>
      </w:pPr>
    </w:p>
    <w:p w:rsidR="00697DFA" w:rsidRDefault="00697DFA" w:rsidP="00595A7C">
      <w:pPr>
        <w:spacing w:line="252" w:lineRule="exact"/>
        <w:rPr>
          <w:rFonts w:hint="default"/>
        </w:rPr>
      </w:pPr>
      <w:r>
        <w:t>（９）協力雇用主の研修受講</w:t>
      </w:r>
    </w:p>
    <w:p w:rsidR="00697DFA" w:rsidRDefault="00D85FBC" w:rsidP="00595A7C">
      <w:pPr>
        <w:spacing w:line="252" w:lineRule="exact"/>
        <w:ind w:leftChars="240" w:left="484" w:firstLineChars="100" w:firstLine="202"/>
        <w:rPr>
          <w:rFonts w:hint="default"/>
        </w:rPr>
      </w:pPr>
      <w:r>
        <w:t>保護観察対象者等の再犯防止・社会復帰支援のため、協力雇用主に登録し令和</w:t>
      </w:r>
      <w:r w:rsidR="00A16C23">
        <w:t>５</w:t>
      </w:r>
      <w:r>
        <w:t>年</w:t>
      </w:r>
      <w:r w:rsidR="00A16C23">
        <w:t>１２</w:t>
      </w:r>
      <w:r>
        <w:t>月までに保護観察所等の開催する研修会の受講を受けた場合</w:t>
      </w:r>
      <w:r w:rsidR="00697DFA">
        <w:t xml:space="preserve">　　＋２点</w:t>
      </w:r>
    </w:p>
    <w:p w:rsidR="00634B50" w:rsidRPr="00DF534F" w:rsidRDefault="00634B50">
      <w:pPr>
        <w:spacing w:line="252" w:lineRule="exact"/>
        <w:rPr>
          <w:rFonts w:hint="default"/>
        </w:rPr>
      </w:pPr>
    </w:p>
    <w:p w:rsidR="00634B50" w:rsidRDefault="000455E6">
      <w:pPr>
        <w:spacing w:line="252" w:lineRule="exact"/>
        <w:rPr>
          <w:rFonts w:hint="default"/>
        </w:rPr>
      </w:pPr>
      <w:r>
        <w:t>４　等級格付の条件</w:t>
      </w:r>
    </w:p>
    <w:p w:rsidR="00A30114" w:rsidRDefault="000455E6">
      <w:pPr>
        <w:spacing w:line="252" w:lineRule="exact"/>
        <w:rPr>
          <w:rFonts w:hint="default"/>
        </w:rPr>
      </w:pPr>
      <w:r>
        <w:t xml:space="preserve">　　総合評点の順位に関わらず、</w:t>
      </w:r>
      <w:r w:rsidR="00A30114">
        <w:t>等級格付けについては次の条件を設定する。なお、土木・建築工事業</w:t>
      </w:r>
    </w:p>
    <w:p w:rsidR="00493B7D" w:rsidRDefault="000455E6" w:rsidP="00A30114">
      <w:pPr>
        <w:spacing w:line="252" w:lineRule="exact"/>
        <w:ind w:firstLineChars="100" w:firstLine="202"/>
        <w:rPr>
          <w:rFonts w:hint="default"/>
        </w:rPr>
      </w:pPr>
      <w:r>
        <w:t>の１級技術者とは、建設業法等でいう技術者で、１級相当の大臣認定者を除くこととする。</w:t>
      </w:r>
    </w:p>
    <w:p w:rsidR="00634B50" w:rsidRDefault="000455E6">
      <w:pPr>
        <w:spacing w:line="252" w:lineRule="exact"/>
        <w:rPr>
          <w:rFonts w:hint="default"/>
        </w:rPr>
      </w:pPr>
      <w:r>
        <w:t xml:space="preserve">　（１）土木工事業及び建築工事業のＡ等級については、特定建設許可業者であること。</w:t>
      </w:r>
    </w:p>
    <w:p w:rsidR="00634B50" w:rsidRDefault="000455E6">
      <w:pPr>
        <w:spacing w:line="252" w:lineRule="exact"/>
        <w:rPr>
          <w:rFonts w:hint="default"/>
        </w:rPr>
      </w:pPr>
      <w:r>
        <w:t xml:space="preserve">　（２）土木工事業のＡは、１級技術者を３名以上有していること。</w:t>
      </w:r>
    </w:p>
    <w:p w:rsidR="00634B50" w:rsidRDefault="000455E6" w:rsidP="00A30114">
      <w:pPr>
        <w:spacing w:line="252" w:lineRule="exact"/>
        <w:ind w:left="202" w:hangingChars="100" w:hanging="202"/>
        <w:rPr>
          <w:rFonts w:hint="default"/>
        </w:rPr>
      </w:pPr>
      <w:r>
        <w:t xml:space="preserve">      </w:t>
      </w:r>
      <w:r w:rsidR="009C6C6C">
        <w:t xml:space="preserve"> </w:t>
      </w:r>
      <w:r>
        <w:t xml:space="preserve">（技術士は１級技術者に含めるが、同一人が重複して資格を保有している場合は１人とする。）　</w:t>
      </w:r>
      <w:r w:rsidR="00E61D72">
        <w:t xml:space="preserve">　</w:t>
      </w:r>
      <w:r>
        <w:t>（３）建築工事業のＡは、１級技術者を２名以上有していること。</w:t>
      </w:r>
    </w:p>
    <w:p w:rsidR="00634B50" w:rsidRDefault="000455E6">
      <w:pPr>
        <w:spacing w:line="252" w:lineRule="exact"/>
        <w:rPr>
          <w:rFonts w:hint="default"/>
        </w:rPr>
      </w:pPr>
      <w:r>
        <w:t xml:space="preserve">　（４）電気・管・ほ装のＡは、１級技術者を１名以上有していること。</w:t>
      </w:r>
    </w:p>
    <w:p w:rsidR="00634B50" w:rsidRDefault="000455E6">
      <w:pPr>
        <w:spacing w:line="252" w:lineRule="exact"/>
        <w:rPr>
          <w:rFonts w:hint="default"/>
        </w:rPr>
      </w:pPr>
      <w:r>
        <w:t xml:space="preserve">　（５）新規登録者は、総合評点による等級より１等級下位に位置づける。</w:t>
      </w:r>
    </w:p>
    <w:p w:rsidR="00A30114" w:rsidRDefault="000455E6">
      <w:pPr>
        <w:spacing w:line="252" w:lineRule="exact"/>
        <w:rPr>
          <w:rFonts w:hint="default"/>
        </w:rPr>
      </w:pPr>
      <w:r>
        <w:t xml:space="preserve">　（６）昇級は１等級上位を原則とするが、３等級</w:t>
      </w:r>
      <w:r w:rsidR="00F03D3C">
        <w:t>上位以上の総合評点を有する場合のみ２等級上位に</w:t>
      </w:r>
    </w:p>
    <w:p w:rsidR="00634B50" w:rsidRDefault="00F03D3C">
      <w:pPr>
        <w:spacing w:line="252" w:lineRule="exact"/>
        <w:rPr>
          <w:rFonts w:hint="default"/>
        </w:rPr>
      </w:pPr>
      <w:r>
        <w:lastRenderedPageBreak/>
        <w:t xml:space="preserve">　　　</w:t>
      </w:r>
      <w:r w:rsidR="00A30114">
        <w:t xml:space="preserve">  </w:t>
      </w:r>
      <w:r>
        <w:t>格付</w:t>
      </w:r>
      <w:r w:rsidR="000455E6">
        <w:t>ける。</w:t>
      </w:r>
    </w:p>
    <w:p w:rsidR="00A30114" w:rsidRDefault="000455E6">
      <w:pPr>
        <w:spacing w:line="252" w:lineRule="exact"/>
        <w:rPr>
          <w:rFonts w:hint="default"/>
        </w:rPr>
      </w:pPr>
      <w:r>
        <w:t xml:space="preserve">　（７）降格は１等級下位を原則とするが、総合評点の２割を付与しても１等級下位の点数に満たない</w:t>
      </w:r>
    </w:p>
    <w:p w:rsidR="00634B50" w:rsidRDefault="000455E6" w:rsidP="00A30114">
      <w:pPr>
        <w:spacing w:line="252" w:lineRule="exact"/>
        <w:ind w:firstLineChars="400" w:firstLine="806"/>
        <w:rPr>
          <w:rFonts w:hint="default"/>
        </w:rPr>
      </w:pPr>
      <w:r>
        <w:t>場合はその限りでない。</w:t>
      </w:r>
    </w:p>
    <w:p w:rsidR="00634B50" w:rsidRPr="00697DFA" w:rsidRDefault="00697DFA" w:rsidP="000341DC">
      <w:pPr>
        <w:spacing w:line="252" w:lineRule="exact"/>
        <w:ind w:left="806" w:hangingChars="400" w:hanging="806"/>
        <w:rPr>
          <w:rFonts w:hint="default"/>
          <w:u w:val="single"/>
        </w:rPr>
      </w:pPr>
      <w:r>
        <w:t xml:space="preserve">　（８）</w:t>
      </w:r>
      <w:r w:rsidRPr="000341DC">
        <w:rPr>
          <w:color w:val="FF0000"/>
          <w:u w:val="single"/>
        </w:rPr>
        <w:t>土木</w:t>
      </w:r>
      <w:r w:rsidR="000341DC" w:rsidRPr="000341DC">
        <w:rPr>
          <w:color w:val="FF0000"/>
          <w:u w:val="single"/>
        </w:rPr>
        <w:t>、</w:t>
      </w:r>
      <w:r w:rsidRPr="000341DC">
        <w:rPr>
          <w:color w:val="FF0000"/>
          <w:u w:val="single"/>
        </w:rPr>
        <w:t>建築</w:t>
      </w:r>
      <w:r w:rsidR="000341DC" w:rsidRPr="000341DC">
        <w:rPr>
          <w:color w:val="FF0000"/>
          <w:u w:val="single"/>
        </w:rPr>
        <w:t>、電気、管工事</w:t>
      </w:r>
      <w:r w:rsidRPr="000341DC">
        <w:rPr>
          <w:color w:val="FF0000"/>
          <w:u w:val="single"/>
        </w:rPr>
        <w:t>の</w:t>
      </w:r>
      <w:r w:rsidRPr="000341DC">
        <w:rPr>
          <w:color w:val="FF0000"/>
          <w:u w:val="single"/>
        </w:rPr>
        <w:t>A</w:t>
      </w:r>
      <w:r w:rsidRPr="000341DC">
        <w:rPr>
          <w:color w:val="FF0000"/>
          <w:u w:val="single"/>
        </w:rPr>
        <w:t>、</w:t>
      </w:r>
      <w:r w:rsidRPr="000341DC">
        <w:rPr>
          <w:color w:val="FF0000"/>
          <w:u w:val="single"/>
        </w:rPr>
        <w:t>B</w:t>
      </w:r>
      <w:r w:rsidRPr="000341DC">
        <w:rPr>
          <w:color w:val="FF0000"/>
          <w:u w:val="single"/>
        </w:rPr>
        <w:t>等級及びほ装工事業の</w:t>
      </w:r>
      <w:r w:rsidRPr="000341DC">
        <w:rPr>
          <w:color w:val="FF0000"/>
          <w:u w:val="single"/>
        </w:rPr>
        <w:t>A</w:t>
      </w:r>
      <w:r w:rsidRPr="000341DC">
        <w:rPr>
          <w:color w:val="FF0000"/>
          <w:u w:val="single"/>
        </w:rPr>
        <w:t>等級については、電子入札対応業者であること。</w:t>
      </w:r>
    </w:p>
    <w:p w:rsidR="00697DFA" w:rsidRDefault="00697DFA" w:rsidP="00697DFA">
      <w:pPr>
        <w:spacing w:line="252" w:lineRule="exact"/>
        <w:rPr>
          <w:rFonts w:hint="default"/>
        </w:rPr>
      </w:pPr>
    </w:p>
    <w:p w:rsidR="00634B50" w:rsidRDefault="000455E6">
      <w:pPr>
        <w:spacing w:line="252" w:lineRule="exact"/>
        <w:rPr>
          <w:rFonts w:hint="default"/>
        </w:rPr>
      </w:pPr>
      <w:r>
        <w:t>５　等級格付の決定</w:t>
      </w:r>
    </w:p>
    <w:p w:rsidR="00A30114" w:rsidRDefault="000455E6">
      <w:pPr>
        <w:spacing w:line="252" w:lineRule="exact"/>
        <w:rPr>
          <w:rFonts w:hint="default"/>
        </w:rPr>
      </w:pPr>
      <w:r>
        <w:t xml:space="preserve">　　総合評点による等級格付は、</w:t>
      </w:r>
      <w:r w:rsidR="00A30114">
        <w:t>格付業種ごとに総合評点の分布、各等級の構成比、指名の状況及び発</w:t>
      </w:r>
    </w:p>
    <w:p w:rsidR="00634B50" w:rsidRDefault="000455E6" w:rsidP="00A30114">
      <w:pPr>
        <w:spacing w:line="252" w:lineRule="exact"/>
        <w:ind w:firstLineChars="100" w:firstLine="202"/>
        <w:rPr>
          <w:rFonts w:hint="default"/>
        </w:rPr>
      </w:pPr>
      <w:r>
        <w:t>注工事量等を勘案の上、決定するものとする。</w:t>
      </w:r>
    </w:p>
    <w:p w:rsidR="006C5569" w:rsidRDefault="006C5569">
      <w:pPr>
        <w:spacing w:line="252" w:lineRule="exact"/>
        <w:rPr>
          <w:rFonts w:hint="default"/>
        </w:rPr>
      </w:pPr>
    </w:p>
    <w:p w:rsidR="00DE1BBF" w:rsidRDefault="00541C63" w:rsidP="00DE1BBF">
      <w:pPr>
        <w:spacing w:line="252" w:lineRule="exact"/>
        <w:rPr>
          <w:rFonts w:hint="default"/>
        </w:rPr>
      </w:pPr>
      <w:r>
        <w:t>６　申請の受付</w:t>
      </w:r>
    </w:p>
    <w:p w:rsidR="00541C63" w:rsidRDefault="00541C63" w:rsidP="00DE1BBF">
      <w:pPr>
        <w:spacing w:line="252" w:lineRule="exact"/>
        <w:rPr>
          <w:rFonts w:hint="default"/>
        </w:rPr>
      </w:pPr>
    </w:p>
    <w:p w:rsidR="00541C63" w:rsidRPr="00541C63" w:rsidRDefault="00541C63" w:rsidP="00DE1BBF">
      <w:pPr>
        <w:spacing w:line="252" w:lineRule="exact"/>
        <w:rPr>
          <w:rFonts w:hint="default"/>
        </w:rPr>
      </w:pPr>
      <w:r>
        <w:t>（１）申請の要件</w:t>
      </w:r>
    </w:p>
    <w:p w:rsidR="00DE1BBF" w:rsidRDefault="00DE1BBF" w:rsidP="00DE1BBF">
      <w:pPr>
        <w:spacing w:line="252" w:lineRule="exact"/>
        <w:rPr>
          <w:rFonts w:hint="default"/>
        </w:rPr>
      </w:pPr>
      <w:r>
        <w:t xml:space="preserve">　　</w:t>
      </w:r>
      <w:r w:rsidR="00B50F76">
        <w:t>ア　建設業許可を受けていること。</w:t>
      </w:r>
    </w:p>
    <w:p w:rsidR="00DE1BBF" w:rsidRDefault="002879BD" w:rsidP="00DE1BBF">
      <w:pPr>
        <w:spacing w:line="252" w:lineRule="exact"/>
        <w:ind w:leftChars="210" w:left="423"/>
        <w:rPr>
          <w:rFonts w:hint="default"/>
        </w:rPr>
      </w:pPr>
      <w:r>
        <w:t>イ　不正行為・契約不履行等の事実から１</w:t>
      </w:r>
      <w:r w:rsidR="007C3FED">
        <w:t>年</w:t>
      </w:r>
      <w:r w:rsidR="00655138">
        <w:t>を経過しない者でない</w:t>
      </w:r>
      <w:r w:rsidR="007E197F">
        <w:t>こと。</w:t>
      </w:r>
    </w:p>
    <w:p w:rsidR="00DE1BBF" w:rsidRDefault="007E197F" w:rsidP="00DE1BBF">
      <w:pPr>
        <w:spacing w:line="252" w:lineRule="exact"/>
        <w:ind w:leftChars="210" w:left="423"/>
        <w:rPr>
          <w:rFonts w:hint="default"/>
        </w:rPr>
      </w:pPr>
      <w:r>
        <w:t>ウ　有効な経営事項審査を受けていること。</w:t>
      </w:r>
    </w:p>
    <w:p w:rsidR="00DE1BBF" w:rsidRDefault="007E197F" w:rsidP="00DE1BBF">
      <w:pPr>
        <w:spacing w:line="252" w:lineRule="exact"/>
        <w:ind w:leftChars="210" w:left="423"/>
        <w:rPr>
          <w:rFonts w:hint="default"/>
        </w:rPr>
      </w:pPr>
      <w:r>
        <w:t>エ　営業を開始して１年以上であること。</w:t>
      </w:r>
    </w:p>
    <w:p w:rsidR="00DE1BBF" w:rsidRDefault="00A30114" w:rsidP="00DE1BBF">
      <w:pPr>
        <w:spacing w:line="252" w:lineRule="exact"/>
        <w:ind w:leftChars="210" w:left="423"/>
        <w:rPr>
          <w:rFonts w:hint="default"/>
        </w:rPr>
      </w:pPr>
      <w:r>
        <w:t>オ</w:t>
      </w:r>
      <w:r w:rsidR="007E197F">
        <w:t xml:space="preserve">　</w:t>
      </w:r>
      <w:r w:rsidR="007E197F" w:rsidRPr="007E197F">
        <w:t>経営状態が著しく不健全であると認められる者でないこと。</w:t>
      </w:r>
    </w:p>
    <w:p w:rsidR="00DE1BBF" w:rsidRDefault="00A30114" w:rsidP="00DE1BBF">
      <w:pPr>
        <w:spacing w:line="252" w:lineRule="exact"/>
        <w:ind w:leftChars="210" w:left="423"/>
        <w:rPr>
          <w:rFonts w:hint="default"/>
        </w:rPr>
      </w:pPr>
      <w:r>
        <w:t>カ</w:t>
      </w:r>
      <w:r w:rsidR="007E197F">
        <w:t xml:space="preserve">　</w:t>
      </w:r>
      <w:r w:rsidR="007E197F" w:rsidRPr="007E197F">
        <w:t>成年被後見人若しくは被保佐人又は破産者で復権を得ない者でないこと。</w:t>
      </w:r>
    </w:p>
    <w:p w:rsidR="00DE1BBF" w:rsidRDefault="00A30114" w:rsidP="00DE1BBF">
      <w:pPr>
        <w:spacing w:line="252" w:lineRule="exact"/>
        <w:ind w:leftChars="210" w:left="423"/>
        <w:rPr>
          <w:rFonts w:hint="default"/>
        </w:rPr>
      </w:pPr>
      <w:r>
        <w:t>キ</w:t>
      </w:r>
      <w:r w:rsidR="007E197F">
        <w:t xml:space="preserve">　社会保険・雇用保険・建設業退職金</w:t>
      </w:r>
      <w:r w:rsidR="00C32E80">
        <w:t>共済制度</w:t>
      </w:r>
      <w:r w:rsidR="009B1B4A">
        <w:t>・建設業労働災害防止協会</w:t>
      </w:r>
      <w:r w:rsidR="00C32E80">
        <w:t>に加入していること。</w:t>
      </w:r>
    </w:p>
    <w:p w:rsidR="00C32E80" w:rsidRDefault="00DE1BBF" w:rsidP="00DE1BBF">
      <w:pPr>
        <w:spacing w:line="252" w:lineRule="exact"/>
        <w:ind w:leftChars="210" w:left="423"/>
        <w:rPr>
          <w:rFonts w:hint="default"/>
        </w:rPr>
      </w:pPr>
      <w:r>
        <w:t xml:space="preserve">　　</w:t>
      </w:r>
      <w:r w:rsidR="00C32E80">
        <w:t>※一部免除有り（</w:t>
      </w:r>
      <w:r w:rsidR="00C32E80" w:rsidRPr="00C32E80">
        <w:t>宮古島市建設工事入札参加資格審査申請書の提出要領</w:t>
      </w:r>
      <w:r w:rsidR="00C32E80">
        <w:t>参照）</w:t>
      </w:r>
    </w:p>
    <w:p w:rsidR="00C32E80" w:rsidRPr="00C32E80" w:rsidRDefault="00C32E80" w:rsidP="00C32E80">
      <w:pPr>
        <w:spacing w:line="252" w:lineRule="exact"/>
        <w:rPr>
          <w:rFonts w:hint="default"/>
        </w:rPr>
      </w:pPr>
    </w:p>
    <w:p w:rsidR="00DE1BBF" w:rsidRDefault="00541C63" w:rsidP="00DE1BBF">
      <w:pPr>
        <w:spacing w:line="252" w:lineRule="exact"/>
        <w:rPr>
          <w:rFonts w:hint="default"/>
        </w:rPr>
      </w:pPr>
      <w:r>
        <w:t>（２）</w:t>
      </w:r>
      <w:r w:rsidR="00C32E80">
        <w:t>申請の方法</w:t>
      </w:r>
    </w:p>
    <w:p w:rsidR="00697DFA" w:rsidRDefault="00697DFA" w:rsidP="001150A2">
      <w:pPr>
        <w:spacing w:line="252" w:lineRule="exact"/>
        <w:ind w:firstLineChars="300" w:firstLine="605"/>
        <w:rPr>
          <w:rFonts w:hint="default"/>
        </w:rPr>
      </w:pPr>
      <w:r>
        <w:t>CD-R</w:t>
      </w:r>
      <w:r>
        <w:t>を用いたデータ及び書面（正本</w:t>
      </w:r>
      <w:r>
        <w:t>1</w:t>
      </w:r>
      <w:r>
        <w:t>部）での申請受付とする。記録媒体は返却しない。</w:t>
      </w:r>
    </w:p>
    <w:p w:rsidR="00DE1BBF" w:rsidRDefault="00697DFA" w:rsidP="00697DFA">
      <w:pPr>
        <w:spacing w:line="252" w:lineRule="exact"/>
        <w:ind w:firstLineChars="200" w:firstLine="403"/>
        <w:rPr>
          <w:rFonts w:hint="default"/>
        </w:rPr>
      </w:pPr>
      <w:r>
        <w:t>データ申請の要領については、宮古島市ホームページにて確認すること。</w:t>
      </w:r>
    </w:p>
    <w:p w:rsidR="00697DFA" w:rsidRDefault="00697DFA" w:rsidP="00697DFA">
      <w:pPr>
        <w:spacing w:line="252" w:lineRule="exact"/>
        <w:rPr>
          <w:rFonts w:hint="default"/>
        </w:rPr>
      </w:pPr>
    </w:p>
    <w:p w:rsidR="00DE1BBF" w:rsidRDefault="00541C63" w:rsidP="00DE1BBF">
      <w:pPr>
        <w:spacing w:line="252" w:lineRule="exact"/>
        <w:rPr>
          <w:rFonts w:hint="default"/>
        </w:rPr>
      </w:pPr>
      <w:r>
        <w:t>（３）</w:t>
      </w:r>
      <w:r w:rsidR="00DE1BBF">
        <w:t>申請受付期間及び受付場所</w:t>
      </w:r>
    </w:p>
    <w:p w:rsidR="00DC6EEC" w:rsidRDefault="00DE1BBF" w:rsidP="00DC6EEC">
      <w:pPr>
        <w:spacing w:line="252" w:lineRule="exact"/>
        <w:rPr>
          <w:rFonts w:hint="default"/>
        </w:rPr>
      </w:pPr>
      <w:r>
        <w:t xml:space="preserve">　　</w:t>
      </w:r>
      <w:r w:rsidR="00DC6EEC" w:rsidRPr="00214C6C">
        <w:rPr>
          <w:color w:val="FF0000"/>
        </w:rPr>
        <w:t>令和</w:t>
      </w:r>
      <w:r w:rsidR="00A16C23">
        <w:rPr>
          <w:color w:val="FF0000"/>
        </w:rPr>
        <w:t>６</w:t>
      </w:r>
      <w:r w:rsidR="00DC6EEC" w:rsidRPr="00214C6C">
        <w:rPr>
          <w:color w:val="FF0000"/>
        </w:rPr>
        <w:t>年２月１日</w:t>
      </w:r>
      <w:r w:rsidR="00BE7EE0" w:rsidRPr="00214C6C">
        <w:rPr>
          <w:color w:val="FF0000"/>
        </w:rPr>
        <w:t>（</w:t>
      </w:r>
      <w:r w:rsidR="00A16C23">
        <w:rPr>
          <w:color w:val="FF0000"/>
        </w:rPr>
        <w:t>木</w:t>
      </w:r>
      <w:r w:rsidR="00BE7EE0" w:rsidRPr="00214C6C">
        <w:rPr>
          <w:color w:val="FF0000"/>
        </w:rPr>
        <w:t>）</w:t>
      </w:r>
      <w:r w:rsidR="00DC6EEC" w:rsidRPr="00214C6C">
        <w:rPr>
          <w:color w:val="FF0000"/>
        </w:rPr>
        <w:t>から令和</w:t>
      </w:r>
      <w:r w:rsidR="00A16C23">
        <w:rPr>
          <w:color w:val="FF0000"/>
        </w:rPr>
        <w:t>6</w:t>
      </w:r>
      <w:r w:rsidR="00DC6EEC" w:rsidRPr="00214C6C">
        <w:rPr>
          <w:color w:val="FF0000"/>
        </w:rPr>
        <w:t>年２月</w:t>
      </w:r>
      <w:r w:rsidR="00A16C23">
        <w:rPr>
          <w:color w:val="FF0000"/>
        </w:rPr>
        <w:t>９</w:t>
      </w:r>
      <w:r w:rsidR="00DC6EEC" w:rsidRPr="00214C6C">
        <w:rPr>
          <w:color w:val="FF0000"/>
        </w:rPr>
        <w:t>日</w:t>
      </w:r>
      <w:r w:rsidR="00BE7EE0" w:rsidRPr="00214C6C">
        <w:rPr>
          <w:color w:val="FF0000"/>
        </w:rPr>
        <w:t>（金）</w:t>
      </w:r>
      <w:r w:rsidR="00DC6EEC" w:rsidRPr="00214C6C">
        <w:rPr>
          <w:color w:val="FF0000"/>
        </w:rPr>
        <w:t>まで（当日消印有効）</w:t>
      </w:r>
    </w:p>
    <w:p w:rsidR="00DE1BBF" w:rsidRDefault="00DC6EEC" w:rsidP="00DC6EEC">
      <w:pPr>
        <w:spacing w:line="252" w:lineRule="exact"/>
        <w:ind w:left="605" w:hangingChars="300" w:hanging="605"/>
        <w:rPr>
          <w:rFonts w:hint="default"/>
        </w:rPr>
      </w:pPr>
      <w:r>
        <w:t xml:space="preserve">　　※申請は原則郵送のみとします。</w:t>
      </w:r>
    </w:p>
    <w:p w:rsidR="00AF58AE" w:rsidRDefault="00AF58AE" w:rsidP="00DC6EEC">
      <w:pPr>
        <w:spacing w:line="252" w:lineRule="exact"/>
        <w:ind w:left="605" w:hangingChars="300" w:hanging="605"/>
        <w:rPr>
          <w:rFonts w:hint="default"/>
        </w:rPr>
      </w:pPr>
      <w:r>
        <w:t xml:space="preserve">　　※例年より期間が短くなっております。ご注意ください。</w:t>
      </w:r>
    </w:p>
    <w:p w:rsidR="00DC6EEC" w:rsidRDefault="00DC6EEC" w:rsidP="00DC6EEC">
      <w:pPr>
        <w:spacing w:line="252" w:lineRule="exact"/>
        <w:ind w:left="605" w:hangingChars="300" w:hanging="605"/>
        <w:rPr>
          <w:rFonts w:hint="default"/>
        </w:rPr>
      </w:pPr>
    </w:p>
    <w:p w:rsidR="00DC6EEC" w:rsidRDefault="00DC6EEC" w:rsidP="00DC6EEC">
      <w:pPr>
        <w:spacing w:line="252" w:lineRule="exact"/>
        <w:ind w:left="605" w:hangingChars="300" w:hanging="605"/>
        <w:rPr>
          <w:rFonts w:hint="default"/>
        </w:rPr>
      </w:pPr>
      <w:r>
        <w:t>（４）郵送先</w:t>
      </w:r>
    </w:p>
    <w:p w:rsidR="00DC6EEC" w:rsidRDefault="00DC6EEC" w:rsidP="00DC6EEC">
      <w:pPr>
        <w:spacing w:line="252" w:lineRule="exact"/>
        <w:ind w:left="605" w:hangingChars="300" w:hanging="605"/>
        <w:rPr>
          <w:rFonts w:hint="default"/>
        </w:rPr>
      </w:pPr>
      <w:r>
        <w:t xml:space="preserve">　　〒９０６－８５０１　沖縄県宮古島市平良字西里１１４０番地</w:t>
      </w:r>
    </w:p>
    <w:p w:rsidR="00DC6EEC" w:rsidRDefault="00DC6EEC" w:rsidP="00DC6EEC">
      <w:pPr>
        <w:spacing w:line="252" w:lineRule="exact"/>
        <w:ind w:left="605" w:hangingChars="300" w:hanging="605"/>
        <w:rPr>
          <w:rFonts w:hint="default"/>
        </w:rPr>
      </w:pPr>
      <w:r>
        <w:t xml:space="preserve">　　　　　　　　　　　　宮古島市役所</w:t>
      </w:r>
      <w:r>
        <w:t xml:space="preserve"> </w:t>
      </w:r>
      <w:r>
        <w:t>総務部</w:t>
      </w:r>
      <w:r>
        <w:t xml:space="preserve"> </w:t>
      </w:r>
      <w:r>
        <w:t>契約検査課</w:t>
      </w:r>
      <w:r>
        <w:t xml:space="preserve"> </w:t>
      </w:r>
      <w:r>
        <w:t>入札契約係</w:t>
      </w:r>
    </w:p>
    <w:p w:rsidR="00DC6EEC" w:rsidRDefault="00DC6EEC" w:rsidP="00DC6EEC">
      <w:pPr>
        <w:spacing w:line="252" w:lineRule="exact"/>
        <w:ind w:left="605" w:hangingChars="300" w:hanging="605"/>
        <w:rPr>
          <w:rFonts w:hint="default"/>
        </w:rPr>
      </w:pPr>
      <w:r>
        <w:t xml:space="preserve">　　　　　　　　　　　　</w:t>
      </w:r>
      <w:r w:rsidRPr="00DC6EEC">
        <w:t>（ＴＥＬ</w:t>
      </w:r>
      <w:r>
        <w:t xml:space="preserve">　</w:t>
      </w:r>
      <w:r w:rsidR="001150A2">
        <w:t>0980-72-1044</w:t>
      </w:r>
      <w:r>
        <w:t xml:space="preserve">　ＦＡＸ</w:t>
      </w:r>
      <w:r w:rsidR="001150A2">
        <w:t xml:space="preserve">　</w:t>
      </w:r>
      <w:r w:rsidR="001150A2">
        <w:t>0980-79-7820</w:t>
      </w:r>
      <w:r w:rsidRPr="00DC6EEC">
        <w:t>）</w:t>
      </w:r>
    </w:p>
    <w:p w:rsidR="00DC6EEC" w:rsidRPr="00DC6EEC" w:rsidRDefault="00DC6EEC" w:rsidP="004F0694">
      <w:pPr>
        <w:spacing w:line="252" w:lineRule="exact"/>
        <w:ind w:left="605" w:hangingChars="300" w:hanging="605"/>
        <w:rPr>
          <w:rFonts w:hint="default"/>
        </w:rPr>
      </w:pPr>
      <w:r>
        <w:t xml:space="preserve">　　</w:t>
      </w:r>
    </w:p>
    <w:p w:rsidR="00DE1BBF" w:rsidRDefault="00541C63" w:rsidP="00DE1BBF">
      <w:pPr>
        <w:spacing w:line="252" w:lineRule="exact"/>
        <w:rPr>
          <w:rFonts w:hint="default"/>
        </w:rPr>
      </w:pPr>
      <w:r>
        <w:t>７</w:t>
      </w:r>
      <w:r w:rsidR="00DE1BBF">
        <w:t xml:space="preserve">　その他留意事項</w:t>
      </w:r>
    </w:p>
    <w:p w:rsidR="00DE1BBF" w:rsidRDefault="00DE1BBF" w:rsidP="001150A2">
      <w:pPr>
        <w:spacing w:line="252" w:lineRule="exact"/>
        <w:ind w:left="403" w:hangingChars="200" w:hanging="403"/>
        <w:rPr>
          <w:rFonts w:hint="default"/>
        </w:rPr>
      </w:pPr>
      <w:r>
        <w:t xml:space="preserve">　　</w:t>
      </w:r>
      <w:r w:rsidR="001150A2">
        <w:t xml:space="preserve">　</w:t>
      </w:r>
      <w:r w:rsidR="00493B7D" w:rsidRPr="00493B7D">
        <w:t>入札参加資格審査申請を</w:t>
      </w:r>
      <w:r w:rsidR="009B1B4A">
        <w:t>した者</w:t>
      </w:r>
      <w:r w:rsidR="00EB04EF">
        <w:t>が、次のア～ウに該当するときは、登録を行わないこと、もしく</w:t>
      </w:r>
      <w:bookmarkStart w:id="0" w:name="_GoBack"/>
      <w:bookmarkEnd w:id="0"/>
      <w:r w:rsidR="00EB04EF">
        <w:t>は</w:t>
      </w:r>
      <w:r w:rsidR="00493B7D" w:rsidRPr="00493B7D">
        <w:t>資格の</w:t>
      </w:r>
      <w:r w:rsidR="00493B7D">
        <w:t>登録を取り消すことがある</w:t>
      </w:r>
      <w:r w:rsidR="00493B7D" w:rsidRPr="00493B7D">
        <w:t>。</w:t>
      </w:r>
    </w:p>
    <w:p w:rsidR="00493B7D" w:rsidRDefault="00493B7D" w:rsidP="00DE1BBF">
      <w:pPr>
        <w:spacing w:line="252" w:lineRule="exact"/>
        <w:rPr>
          <w:rFonts w:hint="default"/>
        </w:rPr>
      </w:pPr>
      <w:r>
        <w:t xml:space="preserve">　　ア　</w:t>
      </w:r>
      <w:r w:rsidRPr="00493B7D">
        <w:t>入札参加資格</w:t>
      </w:r>
      <w:r w:rsidR="00EB04EF">
        <w:t>審査申請書、及び添付書類中の重要な事項について虚偽の記載をし、また</w:t>
      </w:r>
      <w:r w:rsidRPr="00493B7D">
        <w:t>は重要</w:t>
      </w:r>
    </w:p>
    <w:p w:rsidR="00493B7D" w:rsidRDefault="00493B7D" w:rsidP="00DE1BBF">
      <w:pPr>
        <w:spacing w:line="252" w:lineRule="exact"/>
        <w:rPr>
          <w:rFonts w:hint="default"/>
        </w:rPr>
      </w:pPr>
      <w:r>
        <w:t xml:space="preserve">　　　　</w:t>
      </w:r>
      <w:r w:rsidRPr="00493B7D">
        <w:t>な事実について記載をしなかったとき。</w:t>
      </w:r>
    </w:p>
    <w:p w:rsidR="00493B7D" w:rsidRDefault="00493B7D" w:rsidP="00DE1BBF">
      <w:pPr>
        <w:spacing w:line="252" w:lineRule="exact"/>
        <w:rPr>
          <w:rFonts w:hint="default"/>
        </w:rPr>
      </w:pPr>
      <w:r>
        <w:t xml:space="preserve">　　イ　</w:t>
      </w:r>
      <w:r w:rsidRPr="00493B7D">
        <w:t>実態調査に応じなかったとき。</w:t>
      </w:r>
    </w:p>
    <w:p w:rsidR="00493B7D" w:rsidRDefault="00493B7D" w:rsidP="00DE1BBF">
      <w:pPr>
        <w:spacing w:line="252" w:lineRule="exact"/>
        <w:rPr>
          <w:rFonts w:hint="default"/>
        </w:rPr>
      </w:pPr>
      <w:r>
        <w:t xml:space="preserve">　　ウ　</w:t>
      </w:r>
      <w:r w:rsidRPr="00493B7D">
        <w:t>入札参加資格者として不適当であると認められたとき。</w:t>
      </w:r>
    </w:p>
    <w:p w:rsidR="009B1B4A" w:rsidRPr="00DE1BBF" w:rsidRDefault="009B1B4A" w:rsidP="00DE1BBF">
      <w:pPr>
        <w:spacing w:line="252" w:lineRule="exact"/>
        <w:rPr>
          <w:rFonts w:hint="default"/>
        </w:rPr>
      </w:pPr>
      <w:r>
        <w:t xml:space="preserve">　　エ　警察からの通報等により、暴力団関係業者であると認められたとき。</w:t>
      </w:r>
    </w:p>
    <w:sectPr w:rsidR="009B1B4A" w:rsidRPr="00DE1BBF">
      <w:footnotePr>
        <w:numRestart w:val="eachPage"/>
      </w:footnotePr>
      <w:endnotePr>
        <w:numFmt w:val="decimal"/>
      </w:endnotePr>
      <w:pgSz w:w="11906" w:h="16838"/>
      <w:pgMar w:top="-1077" w:right="1077" w:bottom="1077" w:left="1554" w:header="1134" w:footer="0" w:gutter="0"/>
      <w:cols w:space="720"/>
      <w:docGrid w:type="linesAndChars" w:linePitch="253"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85A" w:rsidRDefault="008B385A">
      <w:pPr>
        <w:spacing w:before="367"/>
        <w:rPr>
          <w:rFonts w:hint="default"/>
        </w:rPr>
      </w:pPr>
      <w:r>
        <w:continuationSeparator/>
      </w:r>
    </w:p>
  </w:endnote>
  <w:endnote w:type="continuationSeparator" w:id="0">
    <w:p w:rsidR="008B385A" w:rsidRDefault="008B385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85A" w:rsidRDefault="008B385A">
      <w:pPr>
        <w:spacing w:before="367"/>
        <w:rPr>
          <w:rFonts w:hint="default"/>
        </w:rPr>
      </w:pPr>
      <w:r>
        <w:continuationSeparator/>
      </w:r>
    </w:p>
  </w:footnote>
  <w:footnote w:type="continuationSeparator" w:id="0">
    <w:p w:rsidR="008B385A" w:rsidRDefault="008B385A">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07"/>
  <w:hyphenationZone w:val="0"/>
  <w:drawingGridHorizontalSpacing w:val="356"/>
  <w:drawingGridVerticalSpacing w:val="253"/>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50"/>
    <w:rsid w:val="0002108C"/>
    <w:rsid w:val="000341DC"/>
    <w:rsid w:val="000455E6"/>
    <w:rsid w:val="00051495"/>
    <w:rsid w:val="0006103D"/>
    <w:rsid w:val="00080D7B"/>
    <w:rsid w:val="000B4DD6"/>
    <w:rsid w:val="000C00F0"/>
    <w:rsid w:val="000C4986"/>
    <w:rsid w:val="001150A2"/>
    <w:rsid w:val="00131140"/>
    <w:rsid w:val="0019510B"/>
    <w:rsid w:val="001D31F9"/>
    <w:rsid w:val="001E37D6"/>
    <w:rsid w:val="001F2F42"/>
    <w:rsid w:val="00214C6C"/>
    <w:rsid w:val="00217AE2"/>
    <w:rsid w:val="00241CFD"/>
    <w:rsid w:val="002879BD"/>
    <w:rsid w:val="00296128"/>
    <w:rsid w:val="002B440B"/>
    <w:rsid w:val="002E5CC9"/>
    <w:rsid w:val="002F52CF"/>
    <w:rsid w:val="0030069F"/>
    <w:rsid w:val="00346D6B"/>
    <w:rsid w:val="00370190"/>
    <w:rsid w:val="00381107"/>
    <w:rsid w:val="003A52B1"/>
    <w:rsid w:val="003E1C96"/>
    <w:rsid w:val="00493B7D"/>
    <w:rsid w:val="00494B51"/>
    <w:rsid w:val="00495087"/>
    <w:rsid w:val="004B7F5F"/>
    <w:rsid w:val="004F0694"/>
    <w:rsid w:val="00535FD5"/>
    <w:rsid w:val="00541C63"/>
    <w:rsid w:val="00595A7C"/>
    <w:rsid w:val="0060005B"/>
    <w:rsid w:val="006114CF"/>
    <w:rsid w:val="0061600D"/>
    <w:rsid w:val="00634B50"/>
    <w:rsid w:val="00655138"/>
    <w:rsid w:val="00662350"/>
    <w:rsid w:val="00680708"/>
    <w:rsid w:val="00697DFA"/>
    <w:rsid w:val="006C5569"/>
    <w:rsid w:val="006D1FED"/>
    <w:rsid w:val="007222E9"/>
    <w:rsid w:val="00740F5D"/>
    <w:rsid w:val="007462B8"/>
    <w:rsid w:val="00757900"/>
    <w:rsid w:val="007604B2"/>
    <w:rsid w:val="0076073B"/>
    <w:rsid w:val="007C3FED"/>
    <w:rsid w:val="007E1261"/>
    <w:rsid w:val="007E197F"/>
    <w:rsid w:val="008914D5"/>
    <w:rsid w:val="00894CC8"/>
    <w:rsid w:val="008B385A"/>
    <w:rsid w:val="008C0EB0"/>
    <w:rsid w:val="008C4494"/>
    <w:rsid w:val="008F6A40"/>
    <w:rsid w:val="009156F9"/>
    <w:rsid w:val="00937468"/>
    <w:rsid w:val="00983BEB"/>
    <w:rsid w:val="009A264B"/>
    <w:rsid w:val="009B1B4A"/>
    <w:rsid w:val="009C6C6C"/>
    <w:rsid w:val="009E5473"/>
    <w:rsid w:val="00A16C23"/>
    <w:rsid w:val="00A30114"/>
    <w:rsid w:val="00AA24DE"/>
    <w:rsid w:val="00AC727A"/>
    <w:rsid w:val="00AE3601"/>
    <w:rsid w:val="00AF58AE"/>
    <w:rsid w:val="00B1450E"/>
    <w:rsid w:val="00B50F76"/>
    <w:rsid w:val="00B520FC"/>
    <w:rsid w:val="00B64FC9"/>
    <w:rsid w:val="00B65312"/>
    <w:rsid w:val="00B90E13"/>
    <w:rsid w:val="00B97930"/>
    <w:rsid w:val="00BA1CF6"/>
    <w:rsid w:val="00BA7112"/>
    <w:rsid w:val="00BE7EE0"/>
    <w:rsid w:val="00BF46CB"/>
    <w:rsid w:val="00C13184"/>
    <w:rsid w:val="00C32E80"/>
    <w:rsid w:val="00C60590"/>
    <w:rsid w:val="00C72396"/>
    <w:rsid w:val="00C85692"/>
    <w:rsid w:val="00D14DEE"/>
    <w:rsid w:val="00D645E3"/>
    <w:rsid w:val="00D85FBC"/>
    <w:rsid w:val="00DA390A"/>
    <w:rsid w:val="00DC6EEC"/>
    <w:rsid w:val="00DE1BBF"/>
    <w:rsid w:val="00DE33F0"/>
    <w:rsid w:val="00DF534F"/>
    <w:rsid w:val="00DF73B6"/>
    <w:rsid w:val="00E61D72"/>
    <w:rsid w:val="00EB04EF"/>
    <w:rsid w:val="00F03D3C"/>
    <w:rsid w:val="00FA081A"/>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C60B319"/>
  <w15:docId w15:val="{AD059B5E-BB06-424F-AD64-28FB6FFE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708"/>
    <w:pPr>
      <w:tabs>
        <w:tab w:val="center" w:pos="4252"/>
        <w:tab w:val="right" w:pos="8504"/>
      </w:tabs>
      <w:snapToGrid w:val="0"/>
    </w:pPr>
  </w:style>
  <w:style w:type="character" w:customStyle="1" w:styleId="a4">
    <w:name w:val="ヘッダー (文字)"/>
    <w:basedOn w:val="a0"/>
    <w:link w:val="a3"/>
    <w:uiPriority w:val="99"/>
    <w:rsid w:val="00680708"/>
    <w:rPr>
      <w:rFonts w:ascii="Times New Roman" w:hAnsi="Times New Roman"/>
      <w:color w:val="000000"/>
    </w:rPr>
  </w:style>
  <w:style w:type="paragraph" w:styleId="a5">
    <w:name w:val="footer"/>
    <w:basedOn w:val="a"/>
    <w:link w:val="a6"/>
    <w:uiPriority w:val="99"/>
    <w:unhideWhenUsed/>
    <w:rsid w:val="00680708"/>
    <w:pPr>
      <w:tabs>
        <w:tab w:val="center" w:pos="4252"/>
        <w:tab w:val="right" w:pos="8504"/>
      </w:tabs>
      <w:snapToGrid w:val="0"/>
    </w:pPr>
  </w:style>
  <w:style w:type="character" w:customStyle="1" w:styleId="a6">
    <w:name w:val="フッター (文字)"/>
    <w:basedOn w:val="a0"/>
    <w:link w:val="a5"/>
    <w:uiPriority w:val="99"/>
    <w:rsid w:val="00680708"/>
    <w:rPr>
      <w:rFonts w:ascii="Times New Roman" w:hAnsi="Times New Roman"/>
      <w:color w:val="000000"/>
    </w:rPr>
  </w:style>
  <w:style w:type="paragraph" w:styleId="a7">
    <w:name w:val="Balloon Text"/>
    <w:basedOn w:val="a"/>
    <w:link w:val="a8"/>
    <w:uiPriority w:val="99"/>
    <w:semiHidden/>
    <w:unhideWhenUsed/>
    <w:rsid w:val="00493B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B7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3209</Words>
  <Characters>754</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古謝　将人</cp:lastModifiedBy>
  <cp:revision>6</cp:revision>
  <cp:lastPrinted>2022-11-14T04:40:00Z</cp:lastPrinted>
  <dcterms:created xsi:type="dcterms:W3CDTF">2023-12-07T00:12:00Z</dcterms:created>
  <dcterms:modified xsi:type="dcterms:W3CDTF">2023-12-26T02:35:00Z</dcterms:modified>
</cp:coreProperties>
</file>